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62" w:rsidRPr="00893D15" w:rsidRDefault="002F4462" w:rsidP="002F4462">
      <w:pPr>
        <w:widowControl/>
        <w:shd w:val="clear" w:color="auto" w:fill="FFFFFF"/>
        <w:spacing w:line="450" w:lineRule="atLeast"/>
        <w:jc w:val="center"/>
        <w:rPr>
          <w:rFonts w:ascii="宋体" w:hAnsi="宋体" w:cs="宋体" w:hint="eastAsia"/>
          <w:color w:val="333333"/>
          <w:kern w:val="0"/>
          <w:sz w:val="32"/>
          <w:szCs w:val="32"/>
        </w:rPr>
      </w:pPr>
      <w:r w:rsidRPr="00893D15">
        <w:rPr>
          <w:rFonts w:ascii="宋体" w:hAnsi="宋体" w:cs="宋体" w:hint="eastAsia"/>
          <w:color w:val="333333"/>
          <w:kern w:val="0"/>
          <w:sz w:val="32"/>
          <w:szCs w:val="32"/>
        </w:rPr>
        <w:t>智能</w:t>
      </w:r>
      <w:proofErr w:type="gramStart"/>
      <w:r w:rsidRPr="00893D15">
        <w:rPr>
          <w:rFonts w:ascii="宋体" w:hAnsi="宋体" w:cs="宋体" w:hint="eastAsia"/>
          <w:color w:val="333333"/>
          <w:kern w:val="0"/>
          <w:sz w:val="32"/>
          <w:szCs w:val="32"/>
        </w:rPr>
        <w:t>软起软停</w:t>
      </w:r>
      <w:proofErr w:type="gramEnd"/>
      <w:r w:rsidRPr="00893D15">
        <w:rPr>
          <w:rFonts w:ascii="宋体" w:hAnsi="宋体" w:cs="宋体" w:hint="eastAsia"/>
          <w:color w:val="333333"/>
          <w:kern w:val="0"/>
          <w:sz w:val="32"/>
          <w:szCs w:val="32"/>
        </w:rPr>
        <w:t>控制柜</w:t>
      </w:r>
      <w:r w:rsidRPr="00893D15">
        <w:rPr>
          <w:rFonts w:ascii="宋体" w:hAnsi="宋体" w:hint="eastAsia"/>
          <w:sz w:val="32"/>
          <w:szCs w:val="32"/>
        </w:rPr>
        <w:t>技术规格和要求</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30"/>
          <w:szCs w:val="30"/>
        </w:rPr>
        <w:t xml:space="preserve">   </w:t>
      </w:r>
      <w:r w:rsidRPr="00893D15">
        <w:rPr>
          <w:rFonts w:ascii="宋体" w:hAnsi="宋体" w:hint="eastAsia"/>
          <w:sz w:val="24"/>
          <w:szCs w:val="24"/>
        </w:rPr>
        <w:t xml:space="preserve">1.设备制造应满足下列规范和标准： 以下标准所包含的文件，通过在本规范书中引用而构成规范书的条文，在规范书出版时，所有版本均为有效版本。但所有标准和规范都会被修改，使用这些规范和标准的各方应探讨使用以下标准和规范的最新版本的可能性。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GB7251-1    低压成套开关设备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IEC439     低压成套开关设备和控制设备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JB/ZQ4286    包装通用技术条件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GB4720     电控</w:t>
      </w:r>
      <w:proofErr w:type="gramStart"/>
      <w:r w:rsidRPr="00893D15">
        <w:rPr>
          <w:rFonts w:ascii="宋体" w:hAnsi="宋体" w:hint="eastAsia"/>
          <w:sz w:val="24"/>
          <w:szCs w:val="24"/>
        </w:rPr>
        <w:t>设备第</w:t>
      </w:r>
      <w:proofErr w:type="gramEnd"/>
      <w:r w:rsidRPr="00893D15">
        <w:rPr>
          <w:rFonts w:ascii="宋体" w:hAnsi="宋体" w:hint="eastAsia"/>
          <w:sz w:val="24"/>
          <w:szCs w:val="24"/>
        </w:rPr>
        <w:t>一部分低压装置设计规范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SD19      电测量仪表装置设计技术规程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JB8       产品标牌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GB4208     外壳防护等级分类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GB12348      工业企业厂界噪声标准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Ⅱ类混合</w:t>
      </w:r>
      <w:proofErr w:type="gramStart"/>
      <w:r w:rsidRPr="00893D15">
        <w:rPr>
          <w:rFonts w:ascii="宋体" w:hAnsi="宋体" w:hint="eastAsia"/>
          <w:sz w:val="24"/>
          <w:szCs w:val="24"/>
        </w:rPr>
        <w:t>区评价</w:t>
      </w:r>
      <w:proofErr w:type="gramEnd"/>
      <w:r w:rsidRPr="00893D15">
        <w:rPr>
          <w:rFonts w:ascii="宋体" w:hAnsi="宋体" w:hint="eastAsia"/>
          <w:sz w:val="24"/>
          <w:szCs w:val="24"/>
        </w:rPr>
        <w:t>标准 上述标准为最新有效版本。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2使用环境条件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多年极端最高温度：45.6 ℃     多年极端最低温度：-12.5 ℃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多年平均相对湿度：≤80％      海拔高度：≤2000米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抗震设防烈度：8度         污秽等级：III级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3、设备技术要求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3.1 工程条件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3.1.1系统额定电压：380V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3.1.2系统额定频率：50Hz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3.1.3安装地点: 半室内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3.2 技术要求及参数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3.2.1名称：  智能无触点</w:t>
      </w:r>
      <w:proofErr w:type="gramStart"/>
      <w:r w:rsidRPr="00893D15">
        <w:rPr>
          <w:rFonts w:ascii="宋体" w:hAnsi="宋体" w:hint="eastAsia"/>
          <w:sz w:val="24"/>
          <w:szCs w:val="24"/>
        </w:rPr>
        <w:t>软启软停</w:t>
      </w:r>
      <w:proofErr w:type="gramEnd"/>
      <w:r w:rsidRPr="00893D15">
        <w:rPr>
          <w:rFonts w:ascii="宋体" w:hAnsi="宋体" w:hint="eastAsia"/>
          <w:sz w:val="24"/>
          <w:szCs w:val="24"/>
        </w:rPr>
        <w:t>控制柜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3.2.2型式：  动力柜（定制）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lastRenderedPageBreak/>
        <w:t>3.2.3低压侧额定电压： 400V 功率160KW</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3.2.4额定频率： 50Hz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3.2.5防护等级： IP44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3.2.6额定绝缘电压： 660V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3.2.7控制电压为： 交流220V，380V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3.2.8柜体颜色：  </w:t>
      </w:r>
      <w:proofErr w:type="gramStart"/>
      <w:r w:rsidRPr="00893D15">
        <w:rPr>
          <w:rFonts w:ascii="宋体" w:hAnsi="宋体" w:hint="eastAsia"/>
          <w:sz w:val="24"/>
          <w:szCs w:val="24"/>
        </w:rPr>
        <w:t>驼</w:t>
      </w:r>
      <w:proofErr w:type="gramEnd"/>
      <w:r w:rsidRPr="00893D15">
        <w:rPr>
          <w:rFonts w:ascii="宋体" w:hAnsi="宋体" w:hint="eastAsia"/>
          <w:sz w:val="24"/>
          <w:szCs w:val="24"/>
        </w:rPr>
        <w:t>灰色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 性能要求：    智能、远程控制、无人值守。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3.3.1配电盘型式:  动力柜（定制）。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3.3.2柜内元件的布置,保证在安装、检修等特殊情况下有足够的空间；柜体尺寸：</w:t>
      </w:r>
      <w:r w:rsidRPr="00893D15">
        <w:rPr>
          <w:rFonts w:hint="eastAsia"/>
          <w:sz w:val="24"/>
          <w:szCs w:val="24"/>
        </w:rPr>
        <w:t>700</w:t>
      </w:r>
      <w:r w:rsidRPr="00893D15">
        <w:rPr>
          <w:rFonts w:hint="eastAsia"/>
          <w:sz w:val="24"/>
          <w:szCs w:val="24"/>
        </w:rPr>
        <w:t>×</w:t>
      </w:r>
      <w:r w:rsidRPr="00893D15">
        <w:rPr>
          <w:rFonts w:hint="eastAsia"/>
          <w:sz w:val="24"/>
          <w:szCs w:val="24"/>
        </w:rPr>
        <w:t>500</w:t>
      </w:r>
      <w:r w:rsidRPr="00893D15">
        <w:rPr>
          <w:rFonts w:hint="eastAsia"/>
          <w:sz w:val="24"/>
          <w:szCs w:val="24"/>
        </w:rPr>
        <w:t>×</w:t>
      </w:r>
      <w:r w:rsidRPr="00893D15">
        <w:rPr>
          <w:rFonts w:hint="eastAsia"/>
          <w:sz w:val="24"/>
          <w:szCs w:val="24"/>
        </w:rPr>
        <w:t>1700</w:t>
      </w:r>
      <w:r w:rsidRPr="00893D15">
        <w:rPr>
          <w:rFonts w:hint="eastAsia"/>
          <w:sz w:val="24"/>
          <w:szCs w:val="24"/>
        </w:rPr>
        <w:t>毫米</w:t>
      </w:r>
      <w:r w:rsidRPr="00893D15">
        <w:rPr>
          <w:rFonts w:ascii="宋体" w:hAnsi="宋体" w:hint="eastAsia"/>
          <w:sz w:val="24"/>
          <w:szCs w:val="24"/>
        </w:rPr>
        <w:t>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3.3.3框架和外壳应有足够的强度和刚度，应能承受所安装元件及短路所产生的动、热稳定。同时不因成套设备的吊装、运输等情况而影响设备的性能。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3.3.4柜体内各元件及连接电缆应有防止元件故障引起的飞弧与母线之间短路措施；柜体应该有良好的通风换气措施。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3.3.5控制柜预留外控，必须预留出外接泵体传感器端子。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3.3.6端子要求：采用阻燃型端子，电压端子应能牢固压接1.5mm2导线，电流端子应能牢固压接2.5mm2导线。柜内接线应整齐，编号应规范，满足相关规范要求。柜体配有原理图，每个元器件上都有明确的名称标签。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3.3.7设备制造应遵守现行国标及有关行业标准。为了保证所供开关设备的质量，装在开关柜内的元器件应满足设计的要求并且是经过国家鉴定的优质产品。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3.3.8智能</w:t>
      </w:r>
      <w:proofErr w:type="gramStart"/>
      <w:r w:rsidRPr="00893D15">
        <w:rPr>
          <w:rFonts w:ascii="宋体" w:hAnsi="宋体" w:hint="eastAsia"/>
          <w:sz w:val="24"/>
          <w:szCs w:val="24"/>
        </w:rPr>
        <w:t>软启软停</w:t>
      </w:r>
      <w:proofErr w:type="gramEnd"/>
      <w:r w:rsidRPr="00893D15">
        <w:rPr>
          <w:rFonts w:ascii="宋体" w:hAnsi="宋体" w:hint="eastAsia"/>
          <w:sz w:val="24"/>
          <w:szCs w:val="24"/>
        </w:rPr>
        <w:t>控制柜在厂内出厂前应进行预组装,保证整体的协调性。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3.3.9柜面有清晰的操作按钮和明确状态指示灯及智能液晶仪表。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3.3.10 柜内元器件容量的选择由需方所提供电机的参数决定。元器件容量有一定的余量。</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3.3.11使用年限不小于8年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3.4 元器件要求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lastRenderedPageBreak/>
        <w:t xml:space="preserve">3.4.1柜内主要设备供方应根据需方要求选择。供方对整套控制柜性能负责。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3.4.2 柜内主要设备： 电子元件采用进口和国产优质产品，柜内大电流元器件选用国内品牌专用电动机保护断路器，智能液晶仪表，可控硅采用进口或合资企业产品，电缆采用国标，电流互感器、风扇、散热器均为国内知名品牌。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3．5技术方案及相关  该智能控制</w:t>
      </w:r>
      <w:proofErr w:type="gramStart"/>
      <w:r w:rsidRPr="00893D15">
        <w:rPr>
          <w:rFonts w:ascii="宋体" w:hAnsi="宋体" w:hint="eastAsia"/>
          <w:sz w:val="24"/>
          <w:szCs w:val="24"/>
        </w:rPr>
        <w:t>柜具有</w:t>
      </w:r>
      <w:proofErr w:type="gramEnd"/>
      <w:r w:rsidRPr="00893D15">
        <w:rPr>
          <w:rFonts w:ascii="宋体" w:hAnsi="宋体" w:hint="eastAsia"/>
          <w:sz w:val="24"/>
          <w:szCs w:val="24"/>
        </w:rPr>
        <w:t>完善的保护措施，响应速度快，及时保护、监控、记录潜污泵运行。具体技术要求如下： </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具备远程通信接口，可实时传输设备运行各项参数。</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自动化、可靠性程度高，可方便接入排水公司调度平台，可实现无人值守。</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具备记录、传输设备运行参数，可方便查询设备运行状况。</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柜体采用可编程温度控制，减少智能柜自身功耗。</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具备接入泵体传感器（二模拟量，三个开关量）接口，可实</w:t>
      </w:r>
    </w:p>
    <w:p w:rsidR="002F4462" w:rsidRPr="00893D15" w:rsidRDefault="002F4462" w:rsidP="002F4462">
      <w:pPr>
        <w:spacing w:line="520" w:lineRule="exact"/>
        <w:rPr>
          <w:rFonts w:hint="eastAsia"/>
          <w:sz w:val="24"/>
          <w:szCs w:val="24"/>
        </w:rPr>
      </w:pPr>
      <w:r w:rsidRPr="00893D15">
        <w:rPr>
          <w:rFonts w:hint="eastAsia"/>
          <w:sz w:val="24"/>
          <w:szCs w:val="24"/>
        </w:rPr>
        <w:t>现实时监控设备运行，异常时提示警告，</w:t>
      </w:r>
      <w:proofErr w:type="gramStart"/>
      <w:r w:rsidRPr="00893D15">
        <w:rPr>
          <w:rFonts w:hint="eastAsia"/>
          <w:sz w:val="24"/>
          <w:szCs w:val="24"/>
        </w:rPr>
        <w:t>直至保护</w:t>
      </w:r>
      <w:proofErr w:type="gramEnd"/>
      <w:r w:rsidRPr="00893D15">
        <w:rPr>
          <w:rFonts w:hint="eastAsia"/>
          <w:sz w:val="24"/>
          <w:szCs w:val="24"/>
        </w:rPr>
        <w:t>停机。</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设备具备二级保护，被保护对象为污水提升泵，分一级、二</w:t>
      </w:r>
    </w:p>
    <w:p w:rsidR="002F4462" w:rsidRPr="00893D15" w:rsidRDefault="002F4462" w:rsidP="002F4462">
      <w:pPr>
        <w:spacing w:line="520" w:lineRule="exact"/>
        <w:rPr>
          <w:rFonts w:hint="eastAsia"/>
          <w:sz w:val="24"/>
          <w:szCs w:val="24"/>
        </w:rPr>
      </w:pPr>
      <w:r w:rsidRPr="00893D15">
        <w:rPr>
          <w:rFonts w:hint="eastAsia"/>
          <w:sz w:val="24"/>
          <w:szCs w:val="24"/>
        </w:rPr>
        <w:t>级保护，每级可实现预置电流参数，超过阈值电流</w:t>
      </w:r>
      <w:r w:rsidRPr="00893D15">
        <w:rPr>
          <w:rFonts w:hint="eastAsia"/>
          <w:sz w:val="24"/>
          <w:szCs w:val="24"/>
        </w:rPr>
        <w:t>5%</w:t>
      </w:r>
      <w:r w:rsidRPr="00893D15">
        <w:rPr>
          <w:rFonts w:hint="eastAsia"/>
          <w:sz w:val="24"/>
          <w:szCs w:val="24"/>
        </w:rPr>
        <w:t>提示报警，超过</w:t>
      </w:r>
      <w:r w:rsidRPr="00893D15">
        <w:rPr>
          <w:rFonts w:hint="eastAsia"/>
          <w:sz w:val="24"/>
          <w:szCs w:val="24"/>
        </w:rPr>
        <w:t>10%</w:t>
      </w:r>
      <w:r w:rsidRPr="00893D15">
        <w:rPr>
          <w:rFonts w:hint="eastAsia"/>
          <w:sz w:val="24"/>
          <w:szCs w:val="24"/>
        </w:rPr>
        <w:t>急促报警，</w:t>
      </w:r>
      <w:r w:rsidRPr="00893D15">
        <w:rPr>
          <w:rFonts w:hint="eastAsia"/>
          <w:sz w:val="24"/>
          <w:szCs w:val="24"/>
        </w:rPr>
        <w:t>3</w:t>
      </w:r>
      <w:r w:rsidRPr="00893D15">
        <w:rPr>
          <w:rFonts w:hint="eastAsia"/>
          <w:sz w:val="24"/>
          <w:szCs w:val="24"/>
        </w:rPr>
        <w:t>分钟后即刻停机。启动电流自动屏蔽，启动时间在</w:t>
      </w:r>
      <w:r w:rsidRPr="00893D15">
        <w:rPr>
          <w:rFonts w:hint="eastAsia"/>
          <w:sz w:val="24"/>
          <w:szCs w:val="24"/>
        </w:rPr>
        <w:t>5---60</w:t>
      </w:r>
      <w:r w:rsidRPr="00893D15">
        <w:rPr>
          <w:rFonts w:hint="eastAsia"/>
          <w:sz w:val="24"/>
          <w:szCs w:val="24"/>
        </w:rPr>
        <w:t>秒可调，启动电流不超过设备额定电流的</w:t>
      </w:r>
      <w:r w:rsidRPr="00893D15">
        <w:rPr>
          <w:rFonts w:hint="eastAsia"/>
          <w:sz w:val="24"/>
          <w:szCs w:val="24"/>
        </w:rPr>
        <w:t>2.5</w:t>
      </w:r>
      <w:r w:rsidRPr="00893D15">
        <w:rPr>
          <w:rFonts w:hint="eastAsia"/>
          <w:sz w:val="24"/>
          <w:szCs w:val="24"/>
        </w:rPr>
        <w:t>倍。</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采用</w:t>
      </w:r>
      <w:r w:rsidRPr="00893D15">
        <w:rPr>
          <w:rFonts w:hint="eastAsia"/>
          <w:sz w:val="24"/>
          <w:szCs w:val="24"/>
        </w:rPr>
        <w:t>160KW</w:t>
      </w:r>
      <w:r w:rsidRPr="00893D15">
        <w:rPr>
          <w:rFonts w:hint="eastAsia"/>
          <w:sz w:val="24"/>
          <w:szCs w:val="24"/>
        </w:rPr>
        <w:t>智能无触点</w:t>
      </w:r>
      <w:proofErr w:type="gramStart"/>
      <w:r w:rsidRPr="00893D15">
        <w:rPr>
          <w:rFonts w:hint="eastAsia"/>
          <w:sz w:val="24"/>
          <w:szCs w:val="24"/>
        </w:rPr>
        <w:t>软启软停</w:t>
      </w:r>
      <w:proofErr w:type="gramEnd"/>
      <w:r w:rsidRPr="00893D15">
        <w:rPr>
          <w:rFonts w:hint="eastAsia"/>
          <w:sz w:val="24"/>
          <w:szCs w:val="24"/>
        </w:rPr>
        <w:t>控制柜，电脑板采用霍尔电</w:t>
      </w:r>
    </w:p>
    <w:p w:rsidR="002F4462" w:rsidRPr="00893D15" w:rsidRDefault="002F4462" w:rsidP="002F4462">
      <w:pPr>
        <w:spacing w:line="520" w:lineRule="exact"/>
        <w:rPr>
          <w:rFonts w:hint="eastAsia"/>
          <w:sz w:val="24"/>
          <w:szCs w:val="24"/>
        </w:rPr>
      </w:pPr>
      <w:r w:rsidRPr="00893D15">
        <w:rPr>
          <w:rFonts w:hint="eastAsia"/>
          <w:sz w:val="24"/>
          <w:szCs w:val="24"/>
        </w:rPr>
        <w:t>流传感器，灵敏度高，编程保护电流范围宽，电流</w:t>
      </w:r>
      <w:r w:rsidRPr="00893D15">
        <w:rPr>
          <w:rFonts w:hint="eastAsia"/>
          <w:sz w:val="24"/>
          <w:szCs w:val="24"/>
        </w:rPr>
        <w:t>100A</w:t>
      </w:r>
      <w:r w:rsidRPr="00893D15">
        <w:rPr>
          <w:rFonts w:hint="eastAsia"/>
          <w:sz w:val="24"/>
          <w:szCs w:val="24"/>
        </w:rPr>
        <w:t>至</w:t>
      </w:r>
      <w:r w:rsidRPr="00893D15">
        <w:rPr>
          <w:rFonts w:hint="eastAsia"/>
          <w:sz w:val="24"/>
          <w:szCs w:val="24"/>
        </w:rPr>
        <w:t>320A</w:t>
      </w:r>
      <w:r w:rsidRPr="00893D15">
        <w:rPr>
          <w:rFonts w:hint="eastAsia"/>
          <w:sz w:val="24"/>
          <w:szCs w:val="24"/>
        </w:rPr>
        <w:t>任意可调，步长为</w:t>
      </w:r>
      <w:r w:rsidRPr="00893D15">
        <w:rPr>
          <w:rFonts w:hint="eastAsia"/>
          <w:sz w:val="24"/>
          <w:szCs w:val="24"/>
        </w:rPr>
        <w:t>1A</w:t>
      </w:r>
      <w:r w:rsidRPr="00893D15">
        <w:rPr>
          <w:rFonts w:hint="eastAsia"/>
          <w:sz w:val="24"/>
          <w:szCs w:val="24"/>
        </w:rPr>
        <w:t>。</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供应商负责安装调试工作，含电缆改造，增加长度等，不再</w:t>
      </w:r>
    </w:p>
    <w:p w:rsidR="002F4462" w:rsidRPr="00893D15" w:rsidRDefault="002F4462" w:rsidP="002F4462">
      <w:pPr>
        <w:spacing w:line="520" w:lineRule="exact"/>
        <w:rPr>
          <w:rFonts w:hint="eastAsia"/>
          <w:sz w:val="24"/>
          <w:szCs w:val="24"/>
        </w:rPr>
      </w:pPr>
      <w:r w:rsidRPr="00893D15">
        <w:rPr>
          <w:rFonts w:hint="eastAsia"/>
          <w:sz w:val="24"/>
          <w:szCs w:val="24"/>
        </w:rPr>
        <w:t>追加费用。</w:t>
      </w:r>
    </w:p>
    <w:p w:rsidR="002F4462" w:rsidRPr="00893D15" w:rsidRDefault="002F4462" w:rsidP="002F4462">
      <w:pPr>
        <w:numPr>
          <w:ilvl w:val="0"/>
          <w:numId w:val="1"/>
        </w:numPr>
        <w:spacing w:line="520" w:lineRule="exact"/>
        <w:rPr>
          <w:rFonts w:hint="eastAsia"/>
          <w:sz w:val="24"/>
          <w:szCs w:val="24"/>
        </w:rPr>
      </w:pPr>
      <w:r w:rsidRPr="00893D15">
        <w:rPr>
          <w:rFonts w:hint="eastAsia"/>
          <w:sz w:val="24"/>
          <w:szCs w:val="24"/>
        </w:rPr>
        <w:t>全液晶智能仪表，中文显示，仪表一目了然，并且可查询近</w:t>
      </w:r>
    </w:p>
    <w:p w:rsidR="002F4462" w:rsidRPr="00893D15" w:rsidRDefault="002F4462" w:rsidP="002F4462">
      <w:pPr>
        <w:spacing w:line="520" w:lineRule="exact"/>
        <w:rPr>
          <w:rFonts w:hint="eastAsia"/>
          <w:sz w:val="24"/>
          <w:szCs w:val="24"/>
        </w:rPr>
      </w:pPr>
      <w:r w:rsidRPr="00893D15">
        <w:rPr>
          <w:rFonts w:hint="eastAsia"/>
          <w:sz w:val="24"/>
          <w:szCs w:val="24"/>
        </w:rPr>
        <w:t>五次故障原因。</w:t>
      </w:r>
    </w:p>
    <w:p w:rsidR="002F4462" w:rsidRPr="00893D15" w:rsidRDefault="002F4462" w:rsidP="002F4462">
      <w:pPr>
        <w:spacing w:line="520" w:lineRule="exact"/>
        <w:rPr>
          <w:rFonts w:ascii="宋体" w:hAnsi="宋体" w:hint="eastAsia"/>
          <w:sz w:val="24"/>
          <w:szCs w:val="24"/>
        </w:rPr>
      </w:pPr>
      <w:r w:rsidRPr="00893D15">
        <w:rPr>
          <w:rFonts w:hint="eastAsia"/>
          <w:sz w:val="24"/>
          <w:szCs w:val="24"/>
        </w:rPr>
        <w:t>10</w:t>
      </w:r>
      <w:r w:rsidRPr="00893D15">
        <w:rPr>
          <w:rFonts w:hint="eastAsia"/>
          <w:sz w:val="24"/>
          <w:szCs w:val="24"/>
        </w:rPr>
        <w:t>）采用一体化智能无触点</w:t>
      </w:r>
      <w:proofErr w:type="gramStart"/>
      <w:r w:rsidRPr="00893D15">
        <w:rPr>
          <w:rFonts w:hint="eastAsia"/>
          <w:sz w:val="24"/>
          <w:szCs w:val="24"/>
        </w:rPr>
        <w:t>软启软停保护</w:t>
      </w:r>
      <w:proofErr w:type="gramEnd"/>
      <w:r w:rsidRPr="00893D15">
        <w:rPr>
          <w:rFonts w:hint="eastAsia"/>
          <w:sz w:val="24"/>
          <w:szCs w:val="24"/>
        </w:rPr>
        <w:t>控制柜，有多种方式的软启动、</w:t>
      </w:r>
      <w:proofErr w:type="gramStart"/>
      <w:r w:rsidRPr="00893D15">
        <w:rPr>
          <w:rFonts w:hint="eastAsia"/>
          <w:sz w:val="24"/>
          <w:szCs w:val="24"/>
        </w:rPr>
        <w:t>软停止</w:t>
      </w:r>
      <w:proofErr w:type="gramEnd"/>
      <w:r w:rsidRPr="00893D15">
        <w:rPr>
          <w:rFonts w:hint="eastAsia"/>
          <w:sz w:val="24"/>
          <w:szCs w:val="24"/>
        </w:rPr>
        <w:t>选择，最大程度减少水锤效应冲击管网及设备；旁边不再设立接线柜和辅助柜。</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3.6现场安装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lastRenderedPageBreak/>
        <w:t>1）系统安装调试由供方根据国家电气技术安装规范实施。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2）安装调试完毕后，供方应及时向需方提供产品说明书、合格证。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3）安装调试运行后，供方技术人员应积极配合需方技术人员解决控制系统运行状况、性能，从而满足需方需求。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4）该系统所用软起动器型号及电气元件，详见材料清单。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3.7产品技术特点</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1)电气参数全液晶显示，主控面板中文显示，实时观测准备、启动、运行状态，门板上能直观体现电源，运行，故障指示。</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2)可实现手动/自动，</w:t>
      </w:r>
      <w:proofErr w:type="gramStart"/>
      <w:r w:rsidRPr="00893D15">
        <w:rPr>
          <w:rFonts w:ascii="宋体" w:hAnsi="宋体" w:hint="eastAsia"/>
          <w:sz w:val="24"/>
          <w:szCs w:val="24"/>
        </w:rPr>
        <w:t>远控/</w:t>
      </w:r>
      <w:proofErr w:type="gramEnd"/>
      <w:r w:rsidRPr="00893D15">
        <w:rPr>
          <w:rFonts w:ascii="宋体" w:hAnsi="宋体" w:hint="eastAsia"/>
          <w:sz w:val="24"/>
          <w:szCs w:val="24"/>
        </w:rPr>
        <w:t xml:space="preserve">近控，急停，多种启停方式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3)控制功能强，能满足各种不同的控制系统，通过端子可与各种DCS信号连接，如： 4-20mA。S485通讯。</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4)通过合理调整起动类型，起动时间，电流限幅功能参数，即使运行中</w:t>
      </w:r>
      <w:proofErr w:type="gramStart"/>
      <w:r w:rsidRPr="00893D15">
        <w:rPr>
          <w:rFonts w:ascii="宋体" w:hAnsi="宋体" w:hint="eastAsia"/>
          <w:sz w:val="24"/>
          <w:szCs w:val="24"/>
        </w:rPr>
        <w:t>负载突化也</w:t>
      </w:r>
      <w:proofErr w:type="gramEnd"/>
      <w:r w:rsidRPr="00893D15">
        <w:rPr>
          <w:rFonts w:ascii="宋体" w:hAnsi="宋体" w:hint="eastAsia"/>
          <w:sz w:val="24"/>
          <w:szCs w:val="24"/>
        </w:rPr>
        <w:t xml:space="preserve">不会引起跳闸等事故；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5)保护功能齐全，控制柜对过压、欠压、过流、过载、过热、输入输出缺相、三相不平衡等均能给予保护，且能对发生故障的原因给予纪录。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4、质量保证和考核试验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4.1 例行试验  所有控制柜均应在工厂内进行例行试验，例行试验根据有关国标和IEC的规范，并应有合格的例行试验合格证书供需方审阅。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4.2 现场试验 需方对供方提供的全部或部分产品，进行现场验收试验。需方在现场验收试验期间，破损零件的更换和试验材料，材料以及试验费用等由供方提供。现场验收项目按产品技术条件规定的出厂试验项目进行。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5、质量保证／质量控制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5.1 供方应负责对按本技术规范所提供的服务、工艺、流程、产品和材料实行质量控制。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5.2 供方应该用质量控制计划检查各项目和服务，包括分包商的项目和服务是否符合合同的要求和规定。质量控制系统应符合IS09001系列标准的要</w:t>
      </w:r>
      <w:r w:rsidRPr="00893D15">
        <w:rPr>
          <w:rFonts w:ascii="宋体" w:hAnsi="宋体" w:hint="eastAsia"/>
          <w:sz w:val="24"/>
          <w:szCs w:val="24"/>
        </w:rPr>
        <w:lastRenderedPageBreak/>
        <w:t xml:space="preserve">求。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5.3 供方应随投标方案提供质量保证计划和质量控制手册供审核意。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5.4 开始制造前，供方应提交制造顺序，介绍要进行的检验和试验。需方代表有权进入制造中检验或最终检验和试验。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5.5 凡与规定不符之处，都必须记录进行处理。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6、其它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6.1每台开关柜应备有一个标牌，将其安装在不易刮碰位置，具有清晰、可识别的文字，并由防水气、防腐蚀材料制作，标牌应符合IEC的规范，便于以后查询。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6.2 设备标示 标牌要提供有关设备的全部必要资料，但至少必须包括(不限于)下列：制造厂的名称、设备型号、设备名称、主要技术参数、出厂日期等。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6.3 包装、运输和存储要求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6.3.1 设备制造完成并通过试验后及时包装，否则应得到切实的保护，确保不受污损。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6.3.2 所有部件经妥善包装后，在运输过程中尚应采取其它防护措施，以免散失损坏或被盗。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6.3.3各种包装应能确保零部件在运输过程中不致遭到损坏、丢失、变形、受潮和腐蚀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6.3.4 随产品提供的技术资料应完整无缺，提供的文件包括但不限于以下：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a．装箱单     b. 产品说明书     c．产品检验合格证书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d．安装指示图    e. 原理图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 xml:space="preserve">6.4  清洁和涂漆  </w:t>
      </w:r>
    </w:p>
    <w:p w:rsidR="002F4462" w:rsidRPr="00893D15" w:rsidRDefault="002F4462" w:rsidP="002F4462">
      <w:pPr>
        <w:spacing w:line="520" w:lineRule="exact"/>
        <w:jc w:val="left"/>
        <w:rPr>
          <w:rFonts w:ascii="宋体" w:hAnsi="宋体" w:hint="eastAsia"/>
          <w:sz w:val="24"/>
          <w:szCs w:val="24"/>
        </w:rPr>
      </w:pPr>
      <w:r w:rsidRPr="00893D15">
        <w:rPr>
          <w:rFonts w:ascii="宋体" w:hAnsi="宋体" w:hint="eastAsia"/>
          <w:sz w:val="24"/>
          <w:szCs w:val="24"/>
        </w:rPr>
        <w:t>6.4.1 组装前应从每个零部件内部清除全部加工垃圾，如金属切屑、填充物等，并应从内外表面清除</w:t>
      </w:r>
      <w:proofErr w:type="gramStart"/>
      <w:r w:rsidRPr="00893D15">
        <w:rPr>
          <w:rFonts w:ascii="宋体" w:hAnsi="宋体" w:hint="eastAsia"/>
          <w:sz w:val="24"/>
          <w:szCs w:val="24"/>
        </w:rPr>
        <w:t>所有渣</w:t>
      </w:r>
      <w:proofErr w:type="gramEnd"/>
      <w:r w:rsidRPr="00893D15">
        <w:rPr>
          <w:rFonts w:ascii="宋体" w:hAnsi="宋体" w:hint="eastAsia"/>
          <w:sz w:val="24"/>
          <w:szCs w:val="24"/>
        </w:rPr>
        <w:t>屑、</w:t>
      </w:r>
      <w:proofErr w:type="gramStart"/>
      <w:r w:rsidRPr="00893D15">
        <w:rPr>
          <w:rFonts w:ascii="宋体" w:hAnsi="宋体" w:hint="eastAsia"/>
          <w:sz w:val="24"/>
          <w:szCs w:val="24"/>
        </w:rPr>
        <w:t>锈皮油脂</w:t>
      </w:r>
      <w:proofErr w:type="gramEnd"/>
      <w:r w:rsidRPr="00893D15">
        <w:rPr>
          <w:rFonts w:ascii="宋体" w:hAnsi="宋体" w:hint="eastAsia"/>
          <w:sz w:val="24"/>
          <w:szCs w:val="24"/>
        </w:rPr>
        <w:t xml:space="preserve">等。在运输时设备的内外是清洁的。  </w:t>
      </w:r>
    </w:p>
    <w:p w:rsidR="002F4462" w:rsidRPr="00893D15" w:rsidRDefault="002F4462" w:rsidP="002F4462">
      <w:pPr>
        <w:spacing w:line="520" w:lineRule="exact"/>
        <w:jc w:val="left"/>
        <w:rPr>
          <w:rFonts w:hint="eastAsia"/>
          <w:sz w:val="24"/>
          <w:szCs w:val="24"/>
        </w:rPr>
      </w:pPr>
      <w:r w:rsidRPr="00893D15">
        <w:rPr>
          <w:rFonts w:ascii="宋体" w:hAnsi="宋体" w:hint="eastAsia"/>
          <w:sz w:val="24"/>
          <w:szCs w:val="24"/>
        </w:rPr>
        <w:t>6.4.2 供方的工作范围包括但不限于其所供应的所有设备金属部件的表面处理和涂层，以提供在运输、储存及投标文件规定的运行环境下运行的防腐蚀保护。</w:t>
      </w:r>
      <w:r w:rsidRPr="00893D15">
        <w:rPr>
          <w:rFonts w:ascii="宋体" w:hAnsi="宋体" w:hint="eastAsia"/>
          <w:sz w:val="24"/>
          <w:szCs w:val="24"/>
        </w:rPr>
        <w:lastRenderedPageBreak/>
        <w:t>涂层及油漆应有良好的附着力，均匀光洁，</w:t>
      </w:r>
      <w:proofErr w:type="gramStart"/>
      <w:r w:rsidRPr="00893D15">
        <w:rPr>
          <w:rFonts w:ascii="宋体" w:hAnsi="宋体" w:hint="eastAsia"/>
          <w:sz w:val="24"/>
          <w:szCs w:val="24"/>
        </w:rPr>
        <w:t>不</w:t>
      </w:r>
      <w:proofErr w:type="gramEnd"/>
      <w:r w:rsidRPr="00893D15">
        <w:rPr>
          <w:rFonts w:ascii="宋体" w:hAnsi="宋体" w:hint="eastAsia"/>
          <w:sz w:val="24"/>
          <w:szCs w:val="24"/>
        </w:rPr>
        <w:t>眩光，无流挂、缩边、缩孔等缺陷。</w:t>
      </w:r>
    </w:p>
    <w:p w:rsidR="002F4462" w:rsidRPr="00893D15" w:rsidRDefault="002F4462" w:rsidP="002F4462">
      <w:pPr>
        <w:spacing w:line="520" w:lineRule="exact"/>
        <w:rPr>
          <w:rFonts w:hint="eastAsia"/>
          <w:sz w:val="24"/>
          <w:szCs w:val="24"/>
        </w:rPr>
      </w:pPr>
      <w:r w:rsidRPr="00893D15">
        <w:rPr>
          <w:rFonts w:hint="eastAsia"/>
          <w:sz w:val="24"/>
          <w:szCs w:val="24"/>
        </w:rPr>
        <w:t>7</w:t>
      </w:r>
      <w:r w:rsidRPr="00893D15">
        <w:rPr>
          <w:rFonts w:hint="eastAsia"/>
          <w:sz w:val="24"/>
          <w:szCs w:val="24"/>
        </w:rPr>
        <w:t>、产品规格、数量及造价</w:t>
      </w:r>
    </w:p>
    <w:p w:rsidR="002F4462" w:rsidRPr="00893D15" w:rsidRDefault="002F4462" w:rsidP="002F4462">
      <w:pPr>
        <w:spacing w:line="520" w:lineRule="exact"/>
        <w:rPr>
          <w:rFonts w:hint="eastAsia"/>
          <w:sz w:val="24"/>
          <w:szCs w:val="24"/>
        </w:rPr>
      </w:pPr>
      <w:r w:rsidRPr="00893D15">
        <w:rPr>
          <w:rFonts w:hint="eastAsia"/>
          <w:sz w:val="24"/>
          <w:szCs w:val="24"/>
        </w:rPr>
        <w:t>产品采用统一规格，要求一致性好，互换性好，可灵活编程应对不同设备，主参数如下：电压</w:t>
      </w:r>
      <w:r w:rsidRPr="00893D15">
        <w:rPr>
          <w:rFonts w:hint="eastAsia"/>
          <w:sz w:val="24"/>
          <w:szCs w:val="24"/>
        </w:rPr>
        <w:t>380V</w:t>
      </w:r>
      <w:r w:rsidRPr="00893D15">
        <w:rPr>
          <w:rFonts w:hint="eastAsia"/>
          <w:sz w:val="24"/>
          <w:szCs w:val="24"/>
        </w:rPr>
        <w:t>，功率</w:t>
      </w:r>
      <w:r w:rsidRPr="00893D15">
        <w:rPr>
          <w:rFonts w:hint="eastAsia"/>
          <w:sz w:val="24"/>
          <w:szCs w:val="24"/>
        </w:rPr>
        <w:t>160KW</w:t>
      </w:r>
      <w:r w:rsidRPr="00893D15">
        <w:rPr>
          <w:rFonts w:hint="eastAsia"/>
          <w:sz w:val="24"/>
          <w:szCs w:val="24"/>
        </w:rPr>
        <w:t>。</w:t>
      </w:r>
    </w:p>
    <w:p w:rsidR="00756EDF" w:rsidRPr="002F4462" w:rsidRDefault="00756EDF">
      <w:bookmarkStart w:id="0" w:name="_GoBack"/>
      <w:bookmarkEnd w:id="0"/>
    </w:p>
    <w:sectPr w:rsidR="00756EDF" w:rsidRPr="002F4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C6" w:rsidRDefault="00017FC6" w:rsidP="002F4462">
      <w:r>
        <w:separator/>
      </w:r>
    </w:p>
  </w:endnote>
  <w:endnote w:type="continuationSeparator" w:id="0">
    <w:p w:rsidR="00017FC6" w:rsidRDefault="00017FC6" w:rsidP="002F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C6" w:rsidRDefault="00017FC6" w:rsidP="002F4462">
      <w:r>
        <w:separator/>
      </w:r>
    </w:p>
  </w:footnote>
  <w:footnote w:type="continuationSeparator" w:id="0">
    <w:p w:rsidR="00017FC6" w:rsidRDefault="00017FC6" w:rsidP="002F4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2167"/>
    <w:multiLevelType w:val="multilevel"/>
    <w:tmpl w:val="3E132167"/>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1E"/>
    <w:rsid w:val="00017FC6"/>
    <w:rsid w:val="002F4462"/>
    <w:rsid w:val="00756EDF"/>
    <w:rsid w:val="00DC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462"/>
    <w:rPr>
      <w:sz w:val="18"/>
      <w:szCs w:val="18"/>
    </w:rPr>
  </w:style>
  <w:style w:type="paragraph" w:styleId="a4">
    <w:name w:val="footer"/>
    <w:basedOn w:val="a"/>
    <w:link w:val="Char0"/>
    <w:uiPriority w:val="99"/>
    <w:unhideWhenUsed/>
    <w:rsid w:val="002F4462"/>
    <w:pPr>
      <w:tabs>
        <w:tab w:val="center" w:pos="4153"/>
        <w:tab w:val="right" w:pos="8306"/>
      </w:tabs>
      <w:snapToGrid w:val="0"/>
      <w:jc w:val="left"/>
    </w:pPr>
    <w:rPr>
      <w:sz w:val="18"/>
      <w:szCs w:val="18"/>
    </w:rPr>
  </w:style>
  <w:style w:type="character" w:customStyle="1" w:styleId="Char0">
    <w:name w:val="页脚 Char"/>
    <w:basedOn w:val="a0"/>
    <w:link w:val="a4"/>
    <w:uiPriority w:val="99"/>
    <w:rsid w:val="002F44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462"/>
    <w:rPr>
      <w:sz w:val="18"/>
      <w:szCs w:val="18"/>
    </w:rPr>
  </w:style>
  <w:style w:type="paragraph" w:styleId="a4">
    <w:name w:val="footer"/>
    <w:basedOn w:val="a"/>
    <w:link w:val="Char0"/>
    <w:uiPriority w:val="99"/>
    <w:unhideWhenUsed/>
    <w:rsid w:val="002F4462"/>
    <w:pPr>
      <w:tabs>
        <w:tab w:val="center" w:pos="4153"/>
        <w:tab w:val="right" w:pos="8306"/>
      </w:tabs>
      <w:snapToGrid w:val="0"/>
      <w:jc w:val="left"/>
    </w:pPr>
    <w:rPr>
      <w:sz w:val="18"/>
      <w:szCs w:val="18"/>
    </w:rPr>
  </w:style>
  <w:style w:type="character" w:customStyle="1" w:styleId="Char0">
    <w:name w:val="页脚 Char"/>
    <w:basedOn w:val="a0"/>
    <w:link w:val="a4"/>
    <w:uiPriority w:val="99"/>
    <w:rsid w:val="002F44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dc:creator>
  <cp:keywords/>
  <dc:description/>
  <cp:lastModifiedBy>mali</cp:lastModifiedBy>
  <cp:revision>2</cp:revision>
  <dcterms:created xsi:type="dcterms:W3CDTF">2015-10-27T07:10:00Z</dcterms:created>
  <dcterms:modified xsi:type="dcterms:W3CDTF">2015-10-27T07:10:00Z</dcterms:modified>
</cp:coreProperties>
</file>