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spacing w:line="460" w:lineRule="exact"/>
        <w:jc w:val="left"/>
        <w:rPr>
          <w:rFonts w:ascii="仿宋_GB2312" w:eastAsia="仿宋_GB2312"/>
          <w:b/>
          <w:sz w:val="24"/>
        </w:rPr>
      </w:pPr>
      <w:r>
        <w:rPr>
          <w:rFonts w:hint="eastAsia" w:ascii="仿宋_GB2312" w:eastAsia="仿宋_GB2312"/>
          <w:b/>
          <w:sz w:val="24"/>
        </w:rPr>
        <w:t>附件</w:t>
      </w:r>
    </w:p>
    <w:p>
      <w:pPr>
        <w:shd w:val="clear" w:color="auto" w:fill="FFFFFF"/>
        <w:spacing w:line="460" w:lineRule="exact"/>
        <w:jc w:val="center"/>
        <w:rPr>
          <w:rFonts w:ascii="仿宋_GB2312" w:eastAsia="仿宋_GB2312"/>
          <w:b/>
          <w:sz w:val="24"/>
        </w:rPr>
      </w:pPr>
      <w:r>
        <w:rPr>
          <w:rFonts w:hint="eastAsia" w:ascii="仿宋_GB2312" w:eastAsia="仿宋_GB2312"/>
          <w:b/>
          <w:sz w:val="28"/>
          <w:szCs w:val="28"/>
          <w:u w:val="single"/>
        </w:rPr>
        <w:t xml:space="preserve"> </w:t>
      </w:r>
      <w:r>
        <w:rPr>
          <w:rFonts w:hint="eastAsia" w:ascii="仿宋_GB2312" w:eastAsia="仿宋_GB2312"/>
          <w:b/>
          <w:sz w:val="28"/>
          <w:szCs w:val="28"/>
          <w:u w:val="single"/>
          <w:lang w:eastAsia="zh-CN"/>
        </w:rPr>
        <w:t>兴化市</w:t>
      </w:r>
      <w:r>
        <w:rPr>
          <w:rFonts w:hint="eastAsia" w:ascii="仿宋_GB2312" w:eastAsia="仿宋_GB2312"/>
          <w:b/>
          <w:sz w:val="28"/>
          <w:szCs w:val="28"/>
          <w:u w:val="single"/>
          <w:lang w:val="en-US" w:eastAsia="zh-CN"/>
        </w:rPr>
        <w:t>2016年</w:t>
      </w:r>
      <w:r>
        <w:rPr>
          <w:rFonts w:hint="eastAsia" w:ascii="仿宋_GB2312" w:eastAsia="仿宋_GB2312"/>
          <w:b/>
          <w:sz w:val="28"/>
          <w:szCs w:val="28"/>
          <w:u w:val="single"/>
          <w:lang w:eastAsia="zh-CN"/>
        </w:rPr>
        <w:t>城区污水管网续建工程监理</w:t>
      </w:r>
      <w:bookmarkStart w:id="1" w:name="_GoBack"/>
      <w:bookmarkEnd w:id="1"/>
      <w:r>
        <w:rPr>
          <w:rFonts w:hint="eastAsia" w:ascii="仿宋_GB2312" w:eastAsia="仿宋_GB2312"/>
          <w:b/>
          <w:sz w:val="28"/>
          <w:szCs w:val="28"/>
          <w:u w:val="single"/>
          <w:lang w:val="en-US" w:eastAsia="zh-CN"/>
        </w:rPr>
        <w:t xml:space="preserve"> </w:t>
      </w:r>
      <w:r>
        <w:rPr>
          <w:rFonts w:hint="eastAsia" w:ascii="仿宋_GB2312" w:eastAsia="仿宋_GB2312"/>
          <w:b/>
          <w:sz w:val="28"/>
          <w:szCs w:val="28"/>
        </w:rPr>
        <w:t>（项目名称）招标</w:t>
      </w:r>
    </w:p>
    <w:p>
      <w:pPr>
        <w:shd w:val="clear" w:color="auto" w:fill="FFFFFF"/>
        <w:spacing w:line="460" w:lineRule="exact"/>
        <w:jc w:val="center"/>
        <w:rPr>
          <w:rFonts w:ascii="仿宋_GB2312" w:eastAsia="仿宋_GB2312"/>
          <w:b/>
          <w:sz w:val="24"/>
        </w:rPr>
      </w:pPr>
      <w:r>
        <w:rPr>
          <w:rFonts w:hint="eastAsia" w:ascii="仿宋_GB2312" w:eastAsia="仿宋_GB2312"/>
          <w:b/>
          <w:sz w:val="36"/>
          <w:szCs w:val="36"/>
        </w:rPr>
        <w:t>资格审查及评标办法</w:t>
      </w:r>
    </w:p>
    <w:p>
      <w:pPr>
        <w:shd w:val="clear" w:color="auto" w:fill="FFFFFF"/>
        <w:spacing w:line="460" w:lineRule="exact"/>
        <w:jc w:val="left"/>
        <w:rPr>
          <w:rFonts w:ascii="仿宋_GB2312" w:hAnsi="宋体" w:eastAsia="仿宋_GB2312"/>
          <w:b/>
          <w:sz w:val="28"/>
          <w:szCs w:val="28"/>
        </w:rPr>
      </w:pPr>
      <w:r>
        <w:rPr>
          <w:rFonts w:hint="eastAsia" w:ascii="仿宋_GB2312" w:hAnsi="宋体" w:eastAsia="仿宋_GB2312"/>
          <w:b/>
          <w:sz w:val="28"/>
          <w:szCs w:val="28"/>
        </w:rPr>
        <w:t>一、资格审查条件及标准</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1. 资格审查方法：</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1.1资格审查方式：</w:t>
      </w:r>
      <w:r>
        <w:rPr>
          <w:rFonts w:hint="eastAsia" w:ascii="仿宋_GB2312" w:hAnsi="宋体" w:eastAsia="仿宋_GB2312"/>
          <w:sz w:val="28"/>
          <w:szCs w:val="28"/>
        </w:rPr>
        <w:sym w:font="Wingdings" w:char="F0FE"/>
      </w:r>
      <w:r>
        <w:rPr>
          <w:rFonts w:hint="eastAsia" w:ascii="仿宋_GB2312" w:hAnsi="宋体" w:eastAsia="仿宋_GB2312"/>
          <w:sz w:val="28"/>
          <w:szCs w:val="28"/>
        </w:rPr>
        <w:t>资格后审 □资格预审</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1.2资格审查入围方法：</w:t>
      </w:r>
      <w:r>
        <w:rPr>
          <w:rFonts w:hint="eastAsia" w:ascii="仿宋_GB2312" w:hAnsi="宋体" w:eastAsia="仿宋_GB2312"/>
          <w:sz w:val="28"/>
          <w:szCs w:val="28"/>
        </w:rPr>
        <w:sym w:font="Wingdings" w:char="F0FE"/>
      </w:r>
      <w:r>
        <w:rPr>
          <w:rFonts w:hint="eastAsia" w:ascii="仿宋_GB2312" w:hAnsi="宋体" w:eastAsia="仿宋_GB2312"/>
          <w:sz w:val="28"/>
          <w:szCs w:val="28"/>
        </w:rPr>
        <w:t>合格制 □有限数量制</w:t>
      </w:r>
    </w:p>
    <w:p>
      <w:pPr>
        <w:shd w:val="clear" w:color="auto" w:fill="FFFFFF"/>
        <w:spacing w:line="460" w:lineRule="exact"/>
        <w:ind w:left="567" w:leftChars="136" w:hanging="281" w:hangingChars="100"/>
        <w:jc w:val="left"/>
        <w:textAlignment w:val="baseline"/>
        <w:rPr>
          <w:rFonts w:ascii="仿宋_GB2312" w:hAnsi="宋体" w:eastAsia="仿宋_GB2312"/>
          <w:sz w:val="28"/>
          <w:szCs w:val="28"/>
        </w:rPr>
      </w:pPr>
      <w:r>
        <w:rPr>
          <w:rFonts w:hint="eastAsia" w:ascii="仿宋_GB2312" w:hAnsi="宋体" w:eastAsia="仿宋_GB2312"/>
          <w:b/>
          <w:sz w:val="28"/>
          <w:szCs w:val="28"/>
        </w:rPr>
        <w:t>2. 投标申请人资格合格条件：</w:t>
      </w:r>
      <w:r>
        <w:rPr>
          <w:rFonts w:hint="eastAsia" w:ascii="仿宋_GB2312" w:hAnsi="宋体" w:eastAsia="仿宋_GB2312"/>
          <w:b/>
          <w:sz w:val="28"/>
          <w:szCs w:val="28"/>
        </w:rPr>
        <w:br w:type="textWrapping"/>
      </w:r>
      <w:r>
        <w:rPr>
          <w:rFonts w:hint="eastAsia" w:ascii="仿宋_GB2312" w:hAnsi="宋体" w:eastAsia="仿宋_GB2312"/>
          <w:sz w:val="28"/>
          <w:szCs w:val="28"/>
        </w:rPr>
        <w:t>2.1具有独立订立合同的能力；</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2.2投标申请人资质类别和等级：见招标公告 </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宋体" w:hAnsi="宋体" w:eastAsia="仿宋_GB2312"/>
          <w:sz w:val="28"/>
          <w:szCs w:val="28"/>
        </w:rPr>
        <w:t> </w:t>
      </w:r>
      <w:r>
        <w:rPr>
          <w:rFonts w:hint="eastAsia" w:ascii="仿宋_GB2312" w:hAnsi="宋体" w:eastAsia="仿宋_GB2312"/>
          <w:sz w:val="28"/>
          <w:szCs w:val="28"/>
        </w:rPr>
        <w:br w:type="textWrapping"/>
      </w:r>
      <w:r>
        <w:rPr>
          <w:rFonts w:hint="eastAsia" w:ascii="仿宋_GB2312" w:hAnsi="宋体" w:eastAsia="仿宋_GB2312"/>
          <w:sz w:val="28"/>
          <w:szCs w:val="28"/>
        </w:rPr>
        <w:t>2.3企业具备安全生产条件，并取得安全生产许可证（相关规定不作要求的除外）；</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2.4拟选派项目负责人资质类别等级或职称等级：见招标公告 </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宋体" w:hAnsi="宋体" w:eastAsia="仿宋_GB2312"/>
          <w:sz w:val="28"/>
          <w:szCs w:val="28"/>
        </w:rPr>
        <w:t> </w:t>
      </w:r>
      <w:r>
        <w:rPr>
          <w:rFonts w:hint="eastAsia" w:ascii="仿宋_GB2312" w:hAnsi="宋体" w:eastAsia="仿宋_GB2312"/>
          <w:sz w:val="28"/>
          <w:szCs w:val="28"/>
        </w:rPr>
        <w:br w:type="textWrapping"/>
      </w:r>
      <w:r>
        <w:rPr>
          <w:rFonts w:hint="eastAsia" w:ascii="仿宋_GB2312" w:hAnsi="宋体" w:eastAsia="仿宋_GB2312"/>
          <w:sz w:val="28"/>
          <w:szCs w:val="28"/>
        </w:rPr>
        <w:t>2.5拟选派项目负责人取得安全B类证书（相关规定不作要求的除外）；：</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2.6 项目主要管理人员关于在建工程的要求：</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2.6.1拟选派施工项目部负责人必须满足下列条件之一：</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2.6.1.1 </w:t>
      </w:r>
      <w:r>
        <w:rPr>
          <w:rFonts w:hint="eastAsia" w:ascii="仿宋_GB2312" w:hAnsi="宋体" w:eastAsia="仿宋_GB2312"/>
          <w:color w:val="FF0000"/>
          <w:sz w:val="28"/>
          <w:szCs w:val="28"/>
        </w:rPr>
        <w:t>拟选派</w:t>
      </w:r>
      <w:r>
        <w:rPr>
          <w:rFonts w:hint="eastAsia" w:ascii="仿宋_GB2312" w:hAnsi="宋体" w:eastAsia="仿宋_GB2312"/>
          <w:sz w:val="28"/>
          <w:szCs w:val="28"/>
        </w:rPr>
        <w:t>项目负责人是非变更后未担任其他在建工程的主要管理人员。</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2.6.1.2</w:t>
      </w:r>
      <w:r>
        <w:rPr>
          <w:rFonts w:hint="eastAsia" w:ascii="仿宋_GB2312" w:hAnsi="宋体" w:eastAsia="仿宋_GB2312"/>
          <w:color w:val="FF0000"/>
          <w:sz w:val="28"/>
          <w:szCs w:val="28"/>
        </w:rPr>
        <w:t xml:space="preserve"> 拟选派</w:t>
      </w:r>
      <w:r>
        <w:rPr>
          <w:rFonts w:hint="eastAsia" w:ascii="仿宋_GB2312" w:hAnsi="宋体" w:eastAsia="仿宋_GB2312"/>
          <w:sz w:val="28"/>
          <w:szCs w:val="28"/>
        </w:rPr>
        <w:t>项目负责人是变更后未担任其他在建工程的主要管理人员,并且：原合同工期已满且变更备案之日已满6个月；或者，因非承包方原因致使工程项目停工超过120天，且按苏建招【2015】29号有关规定已经办理解除锁定备案事宜的;</w:t>
      </w:r>
      <w:r>
        <w:rPr>
          <w:rFonts w:hint="eastAsia" w:ascii="仿宋_GB2312" w:hAnsi="宋体" w:eastAsia="仿宋_GB2312"/>
          <w:color w:val="FF0000"/>
          <w:sz w:val="28"/>
          <w:szCs w:val="28"/>
        </w:rPr>
        <w:t>或者，因故不能按期开工超过6个月，且按苏建建管（2014）701号有关规定程序已解除锁定的。</w:t>
      </w:r>
    </w:p>
    <w:p>
      <w:pPr>
        <w:shd w:val="clear" w:color="auto" w:fill="FFFFFF"/>
        <w:spacing w:line="460" w:lineRule="exact"/>
        <w:ind w:firstLine="570"/>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2.6.1.3 </w:t>
      </w:r>
      <w:r>
        <w:rPr>
          <w:rFonts w:hint="eastAsia" w:ascii="仿宋_GB2312" w:hAnsi="宋体" w:eastAsia="仿宋_GB2312"/>
          <w:color w:val="FF0000"/>
          <w:sz w:val="28"/>
          <w:szCs w:val="28"/>
        </w:rPr>
        <w:t>拟选派</w:t>
      </w:r>
      <w:r>
        <w:rPr>
          <w:rFonts w:hint="eastAsia" w:ascii="仿宋_GB2312" w:hAnsi="宋体" w:eastAsia="仿宋_GB2312"/>
          <w:sz w:val="28"/>
          <w:szCs w:val="28"/>
        </w:rPr>
        <w:t>项目负责人有在建工程，但该在建工程与本次招标的工程属于同一工程项目、同一项目批文、同一施工地点分段发包或分期施工的情况。</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2.6.2.</w:t>
      </w:r>
      <w:r>
        <w:rPr>
          <w:rFonts w:hint="eastAsia" w:ascii="仿宋_GB2312" w:hAnsi="宋体" w:eastAsia="仿宋_GB2312"/>
          <w:color w:val="FF0000"/>
          <w:sz w:val="28"/>
          <w:szCs w:val="28"/>
        </w:rPr>
        <w:t>拟选派</w:t>
      </w:r>
      <w:r>
        <w:rPr>
          <w:rFonts w:hint="eastAsia" w:ascii="仿宋_GB2312" w:hAnsi="宋体" w:eastAsia="仿宋_GB2312"/>
          <w:sz w:val="28"/>
          <w:szCs w:val="28"/>
        </w:rPr>
        <w:t>项目</w:t>
      </w:r>
      <w:r>
        <w:rPr>
          <w:rFonts w:hint="eastAsia" w:ascii="仿宋_GB2312" w:hAnsi="宋体" w:eastAsia="仿宋_GB2312"/>
          <w:sz w:val="28"/>
          <w:szCs w:val="28"/>
          <w:lang w:eastAsia="zh-CN"/>
        </w:rPr>
        <w:t>总监</w:t>
      </w:r>
      <w:r>
        <w:rPr>
          <w:rFonts w:hint="eastAsia" w:ascii="仿宋_GB2312" w:hAnsi="宋体" w:eastAsia="仿宋_GB2312"/>
          <w:sz w:val="28"/>
          <w:szCs w:val="28"/>
        </w:rPr>
        <w:t>如有在监工程，本次招标</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不接受其投标。</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接受其投标，但在提交的资格审查资料中，须提供在监工程建设单位出具的允许其参加本次招标的书面证明。</w:t>
      </w:r>
    </w:p>
    <w:p>
      <w:pPr>
        <w:shd w:val="clear" w:color="auto" w:fill="FFFFFF"/>
        <w:spacing w:line="460" w:lineRule="exact"/>
        <w:ind w:firstLine="1120" w:firstLineChars="400"/>
        <w:jc w:val="left"/>
        <w:textAlignment w:val="baseline"/>
        <w:rPr>
          <w:rFonts w:ascii="仿宋_GB2312" w:hAnsi="宋体" w:eastAsia="仿宋_GB2312"/>
          <w:sz w:val="28"/>
          <w:szCs w:val="28"/>
        </w:rPr>
      </w:pPr>
      <w:r>
        <w:rPr>
          <w:rFonts w:hint="eastAsia" w:ascii="仿宋_GB2312" w:hAnsi="宋体" w:eastAsia="仿宋_GB2312"/>
          <w:sz w:val="28"/>
          <w:szCs w:val="28"/>
        </w:rPr>
        <w:t>拟选派施工项目部主要负责人或项目</w:t>
      </w:r>
      <w:r>
        <w:rPr>
          <w:rFonts w:hint="eastAsia" w:ascii="仿宋_GB2312" w:hAnsi="宋体" w:eastAsia="仿宋_GB2312"/>
          <w:sz w:val="28"/>
          <w:szCs w:val="28"/>
          <w:lang w:eastAsia="zh-CN"/>
        </w:rPr>
        <w:t>总监</w:t>
      </w:r>
      <w:r>
        <w:rPr>
          <w:rFonts w:hint="eastAsia" w:ascii="仿宋_GB2312" w:hAnsi="宋体" w:eastAsia="仿宋_GB2312"/>
          <w:sz w:val="28"/>
          <w:szCs w:val="28"/>
        </w:rPr>
        <w:t>如未按上述要求参加本工程投标，经查实后，招标人将取消其投标、中标资格，并报招投标监管机构按隐瞒在建工程不良行为处理。说明：投标人无在建工程认定依据：</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本条所称在建工程是指：处于中标人公告到合同约定的工程全部完成且验收合格期间内的工程。</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注：绿化工程竣工验收后的养护期及绿化养护、管护工程无论合同期是否已满，不作为在建工程</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2.7拟选派项目主要管理人员必须是投标单位人员，参加资格审查时须提供投标单位近一年内（投标截止日起向前推12个月）为其办理的社会养老保险证明或社会养老保险承诺书。</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特殊人员按下列要求提供相关证明材料：</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2.7.1项目主要管理人员与投标单位法定代表人为同一人的，可不提供保险证明，但须提供工商营业执照。</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2.7.2退休人员但又在执业期内的，须提供社保部门出具的其在投标单位退休的退休证。</w:t>
      </w:r>
    </w:p>
    <w:p>
      <w:pPr>
        <w:shd w:val="clear" w:color="auto" w:fill="FFFFFF"/>
        <w:spacing w:line="460" w:lineRule="exact"/>
        <w:ind w:firstLine="560"/>
        <w:jc w:val="left"/>
        <w:textAlignment w:val="baseline"/>
        <w:rPr>
          <w:rFonts w:ascii="仿宋_GB2312" w:hAnsi="宋体" w:eastAsia="仿宋_GB2312"/>
          <w:b/>
          <w:sz w:val="28"/>
          <w:szCs w:val="28"/>
          <w:u w:val="single"/>
        </w:rPr>
      </w:pPr>
      <w:r>
        <w:rPr>
          <w:rFonts w:hint="eastAsia" w:ascii="仿宋_GB2312" w:hAnsi="宋体" w:eastAsia="仿宋_GB2312"/>
          <w:sz w:val="28"/>
          <w:szCs w:val="28"/>
        </w:rPr>
        <w:t>2.7.3因改革、改制等原因无法在投标单位缴纳社会养老保险但实际又与投标单位存在劳动关系的特殊人员，须提供社保部门出具的其社会养老保险实际缴纳情况证明及证明其现为投标单位正式人员的公函（或经社保部门见证的劳动合同）。</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2.8省外建筑施工企业须提供建设行政主管部门发放的《省外建筑施工企业资质核验书》。</w:t>
      </w:r>
    </w:p>
    <w:p>
      <w:pPr>
        <w:spacing w:line="460" w:lineRule="exact"/>
        <w:jc w:val="left"/>
        <w:rPr>
          <w:rFonts w:ascii="仿宋_GB2312" w:hAnsi="宋体" w:eastAsia="仿宋_GB2312"/>
          <w:sz w:val="28"/>
          <w:szCs w:val="28"/>
        </w:rPr>
      </w:pPr>
      <w:r>
        <w:rPr>
          <w:rFonts w:hint="eastAsia" w:ascii="仿宋_GB2312" w:hAnsi="宋体" w:eastAsia="仿宋_GB2312"/>
          <w:b/>
          <w:bCs/>
          <w:sz w:val="28"/>
          <w:szCs w:val="28"/>
        </w:rPr>
        <w:t>3、资格审查合格可选条件：</w:t>
      </w:r>
    </w:p>
    <w:p>
      <w:pPr>
        <w:spacing w:line="460" w:lineRule="exact"/>
        <w:ind w:firstLine="564"/>
        <w:jc w:val="left"/>
        <w:rPr>
          <w:rFonts w:ascii="仿宋_GB2312" w:hAnsi="宋体" w:eastAsia="仿宋_GB2312"/>
          <w:sz w:val="28"/>
          <w:szCs w:val="28"/>
        </w:rPr>
      </w:pPr>
      <w:r>
        <w:rPr>
          <w:rFonts w:hint="eastAsia" w:ascii="仿宋_GB2312" w:hAnsi="宋体" w:eastAsia="仿宋_GB2312"/>
          <w:sz w:val="28"/>
          <w:szCs w:val="28"/>
        </w:rPr>
        <w:t>本次招标：</w:t>
      </w:r>
      <w:r>
        <w:rPr>
          <w:rFonts w:hint="eastAsia" w:ascii="仿宋_GB2312" w:hAnsi="宋体" w:eastAsia="仿宋_GB2312"/>
          <w:sz w:val="28"/>
          <w:szCs w:val="28"/>
        </w:rPr>
        <w:sym w:font="Wingdings" w:char="F0FE"/>
      </w:r>
      <w:r>
        <w:rPr>
          <w:rFonts w:hint="eastAsia" w:ascii="仿宋_GB2312" w:hAnsi="宋体" w:eastAsia="仿宋_GB2312"/>
          <w:sz w:val="28"/>
          <w:szCs w:val="28"/>
        </w:rPr>
        <w:t>无可选条件。</w:t>
      </w:r>
    </w:p>
    <w:p>
      <w:pPr>
        <w:spacing w:line="460" w:lineRule="exact"/>
        <w:ind w:firstLine="564"/>
        <w:jc w:val="left"/>
        <w:rPr>
          <w:rFonts w:ascii="仿宋_GB2312" w:hAnsi="宋体" w:eastAsia="仿宋_GB2312"/>
          <w:sz w:val="28"/>
          <w:szCs w:val="28"/>
        </w:rPr>
      </w:pPr>
      <w:r>
        <w:rPr>
          <w:rFonts w:hint="eastAsia" w:ascii="仿宋_GB2312" w:hAnsi="宋体" w:eastAsia="仿宋_GB2312"/>
          <w:sz w:val="28"/>
          <w:szCs w:val="28"/>
        </w:rPr>
        <w:t>□有可选条件：</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jc w:val="left"/>
        <w:rPr>
          <w:rFonts w:ascii="仿宋_GB2312" w:hAnsi="宋体" w:eastAsia="仿宋_GB2312"/>
          <w:b/>
          <w:sz w:val="28"/>
          <w:szCs w:val="28"/>
        </w:rPr>
      </w:pPr>
      <w:r>
        <w:rPr>
          <w:rFonts w:hint="eastAsia" w:ascii="仿宋_GB2312" w:hAnsi="宋体" w:eastAsia="仿宋_GB2312"/>
          <w:b/>
          <w:sz w:val="28"/>
          <w:szCs w:val="28"/>
        </w:rPr>
        <w:t>4、</w:t>
      </w:r>
      <w:r>
        <w:rPr>
          <w:rFonts w:hint="eastAsia" w:ascii="仿宋_GB2312" w:hAnsi="宋体" w:eastAsia="仿宋_GB2312"/>
          <w:b/>
          <w:bCs/>
          <w:sz w:val="28"/>
          <w:szCs w:val="28"/>
        </w:rPr>
        <w:t>投标申请人</w:t>
      </w:r>
      <w:r>
        <w:rPr>
          <w:rFonts w:hint="eastAsia" w:ascii="仿宋_GB2312" w:hAnsi="宋体" w:eastAsia="仿宋_GB2312"/>
          <w:b/>
          <w:sz w:val="28"/>
          <w:szCs w:val="28"/>
        </w:rPr>
        <w:t>其他条件</w:t>
      </w:r>
    </w:p>
    <w:p>
      <w:pPr>
        <w:shd w:val="clear" w:color="auto" w:fill="FFFFFF"/>
        <w:spacing w:line="460" w:lineRule="exact"/>
        <w:ind w:firstLine="420" w:firstLineChars="150"/>
        <w:jc w:val="left"/>
        <w:rPr>
          <w:rFonts w:ascii="仿宋_GB2312" w:hAnsi="宋体" w:eastAsia="仿宋_GB2312"/>
          <w:sz w:val="28"/>
          <w:szCs w:val="28"/>
        </w:rPr>
      </w:pPr>
      <w:r>
        <w:rPr>
          <w:rFonts w:hint="eastAsia" w:ascii="仿宋_GB2312" w:hAnsi="宋体" w:eastAsia="仿宋_GB2312"/>
          <w:sz w:val="28"/>
          <w:szCs w:val="28"/>
        </w:rPr>
        <w:t xml:space="preserve">4.1本次招标： </w:t>
      </w:r>
      <w:r>
        <w:rPr>
          <w:rFonts w:hint="eastAsia" w:ascii="仿宋_GB2312" w:hAnsi="宋体" w:eastAsia="仿宋_GB2312"/>
          <w:sz w:val="28"/>
          <w:szCs w:val="28"/>
        </w:rPr>
        <w:sym w:font="Wingdings" w:char="F0FE"/>
      </w:r>
      <w:r>
        <w:rPr>
          <w:rFonts w:hint="eastAsia" w:ascii="仿宋_GB2312" w:hAnsi="宋体" w:eastAsia="仿宋_GB2312"/>
          <w:sz w:val="28"/>
          <w:szCs w:val="28"/>
        </w:rPr>
        <w:t>不接受联合体投标。</w:t>
      </w:r>
    </w:p>
    <w:p>
      <w:pPr>
        <w:shd w:val="clear" w:color="auto" w:fill="FFFFFF"/>
        <w:spacing w:line="460" w:lineRule="exact"/>
        <w:ind w:firstLine="840" w:firstLineChars="300"/>
        <w:jc w:val="left"/>
        <w:rPr>
          <w:rFonts w:ascii="仿宋_GB2312" w:hAnsi="宋体" w:eastAsia="仿宋_GB2312"/>
          <w:sz w:val="28"/>
          <w:szCs w:val="28"/>
          <w:u w:val="single"/>
        </w:rPr>
      </w:pPr>
      <w:r>
        <w:rPr>
          <w:rFonts w:hint="eastAsia" w:ascii="仿宋_GB2312" w:hAnsi="宋体" w:eastAsia="仿宋_GB2312"/>
          <w:sz w:val="28"/>
          <w:szCs w:val="28"/>
        </w:rPr>
        <w:t>□接受联合体投标，但应满足下列要求并附有共同投标协议：</w:t>
      </w:r>
    </w:p>
    <w:p>
      <w:pPr>
        <w:shd w:val="clear" w:color="auto" w:fill="FFFFFF"/>
        <w:spacing w:line="460" w:lineRule="exact"/>
        <w:ind w:firstLine="420" w:firstLineChars="150"/>
        <w:jc w:val="left"/>
        <w:rPr>
          <w:rFonts w:ascii="仿宋_GB2312" w:hAnsi="宋体" w:eastAsia="仿宋_GB2312"/>
          <w:sz w:val="28"/>
          <w:szCs w:val="28"/>
        </w:rPr>
      </w:pPr>
      <w:r>
        <w:rPr>
          <w:rFonts w:hint="eastAsia" w:ascii="仿宋_GB2312" w:hAnsi="宋体" w:eastAsia="仿宋_GB2312"/>
          <w:sz w:val="28"/>
          <w:szCs w:val="28"/>
        </w:rPr>
        <w:t>4.2企业业绩、信誉：无不良行为；</w:t>
      </w:r>
      <w:r>
        <w:rPr>
          <w:rFonts w:hint="eastAsia" w:ascii="宋体" w:hAnsi="宋体" w:eastAsia="仿宋_GB2312"/>
          <w:sz w:val="28"/>
          <w:szCs w:val="28"/>
        </w:rPr>
        <w:t>     </w:t>
      </w:r>
      <w:r>
        <w:rPr>
          <w:rFonts w:hint="eastAsia" w:ascii="仿宋_GB2312" w:hAnsi="宋体" w:eastAsia="仿宋_GB2312"/>
          <w:sz w:val="28"/>
          <w:szCs w:val="28"/>
        </w:rPr>
        <w:t xml:space="preserve"> </w:t>
      </w:r>
    </w:p>
    <w:p>
      <w:pPr>
        <w:shd w:val="clear" w:color="auto" w:fill="FFFFFF"/>
        <w:spacing w:line="460" w:lineRule="exact"/>
        <w:ind w:firstLine="420" w:firstLineChars="150"/>
        <w:jc w:val="left"/>
        <w:textAlignment w:val="baseline"/>
        <w:rPr>
          <w:rFonts w:hint="eastAsia" w:ascii="仿宋_GB2312" w:hAnsi="宋体" w:eastAsia="仿宋_GB2312"/>
          <w:sz w:val="28"/>
          <w:szCs w:val="28"/>
        </w:rPr>
      </w:pPr>
      <w:r>
        <w:rPr>
          <w:rFonts w:hint="eastAsia" w:ascii="仿宋_GB2312" w:hAnsi="宋体" w:eastAsia="仿宋_GB2312"/>
          <w:sz w:val="28"/>
          <w:szCs w:val="28"/>
        </w:rPr>
        <w:t>4.3项目负责人业绩、信誉：无不良行为；</w:t>
      </w:r>
    </w:p>
    <w:p>
      <w:pPr>
        <w:shd w:val="clear" w:color="auto" w:fill="FFFFFF"/>
        <w:spacing w:line="460" w:lineRule="exact"/>
        <w:ind w:firstLine="420" w:firstLineChars="150"/>
        <w:jc w:val="left"/>
        <w:textAlignment w:val="baseline"/>
        <w:rPr>
          <w:rFonts w:hint="eastAsia" w:ascii="仿宋_GB2312" w:hAnsi="宋体" w:eastAsia="仿宋_GB2312"/>
          <w:sz w:val="28"/>
          <w:szCs w:val="28"/>
        </w:rPr>
      </w:pP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4.4未处于被责令停业、投标资格被取消或者财产被接管、冻结和破产状态；</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4.5企业没有因骗取中标或者严重违约以及发生重大工程质量、安全生产事故等违法违规问题，被有关部门暂停投标资格并在暂停期内的；</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4.6符合法律、法规规定的其他条件。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本条4.2、4.3、4.4、4.5款中所列涉及的不良行为和投标资格被取消或暂停的情形，招标人的认定依据为：《兴化招投标网》、《泰州市公共资源交易网》、《江苏建设工程招标网》发布的不良行为公示；兴化市、泰州市、江苏省有关行政机关作出的处理决定与通报；检察系统行贿档案查询认定应当限制投标的情形。</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4.7本工程投标文件的解密实行有限数量制：（1）、开标时，对按招标文件规定已上传投标文件且按规定参加开标会签到的实际投标人进行现场随机抽签，抽出一定数量的投标人并对其投标文件进行解密，未能通过抽签入围的投标文件不予解密、不参加评标定标。（2）、当实际投标人＞30家时，通过抽签方式抽出30家进行投标文件解密；当实际投标人≤30家时，则所有实际投标人全部入围并进行投标文件解密。</w:t>
      </w:r>
    </w:p>
    <w:p>
      <w:pPr>
        <w:spacing w:line="460" w:lineRule="exact"/>
        <w:rPr>
          <w:rFonts w:ascii="仿宋_GB2312" w:hAnsi="宋体" w:eastAsia="仿宋_GB2312"/>
          <w:b/>
          <w:sz w:val="28"/>
          <w:szCs w:val="28"/>
        </w:rPr>
      </w:pPr>
      <w:r>
        <w:rPr>
          <w:rFonts w:hint="eastAsia" w:ascii="仿宋_GB2312" w:hAnsi="宋体" w:eastAsia="仿宋_GB2312"/>
          <w:b/>
          <w:sz w:val="28"/>
          <w:szCs w:val="28"/>
        </w:rPr>
        <w:t>二、投标申请人须提供的资格审查材料及参加资格审查方式</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1、适用于资格预审</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1.1提供材料：</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单位介绍信、法定代表人委托书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企业法人营业执照</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企业资质等级证书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企业安全生产许可证</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项目负责人资质证书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项目负责人职称证书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项目负责人及授权委托人养老保险证明（详见本文件第一条2.7）</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项目负责人安全生产考核合格证</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省外建筑施工企业须提供建设行政主管部门发放的《省外建筑施工企业资质核验书》。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联合体协议书，并明确联合体牵头人。</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业绩证明（包括：□经招投标管理部门备案的中标通知书□合同</w:t>
      </w:r>
    </w:p>
    <w:p>
      <w:pPr>
        <w:tabs>
          <w:tab w:val="left" w:pos="920"/>
        </w:tabs>
        <w:spacing w:line="460" w:lineRule="exact"/>
        <w:ind w:left="920" w:firstLine="560" w:firstLineChars="200"/>
        <w:rPr>
          <w:rFonts w:ascii="仿宋_GB2312" w:hAnsi="宋体" w:eastAsia="仿宋_GB2312"/>
          <w:sz w:val="28"/>
          <w:szCs w:val="28"/>
        </w:rPr>
      </w:pPr>
      <w:r>
        <w:rPr>
          <w:rFonts w:hint="eastAsia" w:ascii="仿宋_GB2312" w:hAnsi="宋体" w:eastAsia="仿宋_GB2312"/>
          <w:sz w:val="28"/>
          <w:szCs w:val="28"/>
        </w:rPr>
        <w:t>□建设、施工、监理、设计四方签署的工程竣工验收报告）</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法人代表和项目负责人二代身份证</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有在建工程的项目总监，按本文件第一条2.6.4的要求提供证明材料。</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对投标人、项目负责人的信誉要求：投标人及项目负责人近两年内无行贿犯罪档案记录。</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其他：/</w:t>
      </w:r>
    </w:p>
    <w:p>
      <w:pPr>
        <w:spacing w:line="460" w:lineRule="exact"/>
        <w:ind w:left="560"/>
        <w:rPr>
          <w:rFonts w:ascii="仿宋_GB2312" w:hAnsi="宋体" w:eastAsia="仿宋_GB2312"/>
          <w:sz w:val="28"/>
          <w:szCs w:val="28"/>
        </w:rPr>
      </w:pPr>
      <w:r>
        <w:rPr>
          <w:rFonts w:hint="eastAsia" w:ascii="仿宋_GB2312" w:hAnsi="宋体" w:eastAsia="仿宋_GB2312"/>
          <w:b/>
          <w:sz w:val="28"/>
          <w:szCs w:val="28"/>
        </w:rPr>
        <w:t>说明</w:t>
      </w:r>
      <w:r>
        <w:rPr>
          <w:rFonts w:hint="eastAsia" w:ascii="仿宋_GB2312" w:hAnsi="宋体" w:eastAsia="仿宋_GB2312"/>
          <w:sz w:val="28"/>
          <w:szCs w:val="28"/>
        </w:rPr>
        <w:t>：上述所列证书、证件和证明均须提供原件及复印件，其中复印件一式三份并加盖投标单位公章。</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1.2参加资格审查方式</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1.2.1资格审查文件递交方式：□网上递交□现场递交</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现场递交期间：□企业法人代表□项目负责人</w:t>
      </w:r>
    </w:p>
    <w:p>
      <w:pPr>
        <w:shd w:val="clear" w:color="auto" w:fill="FFFFFF"/>
        <w:spacing w:line="460" w:lineRule="exact"/>
        <w:ind w:firstLine="426" w:firstLineChars="152"/>
        <w:jc w:val="left"/>
        <w:rPr>
          <w:rFonts w:ascii="仿宋_GB2312" w:hAnsi="宋体" w:eastAsia="仿宋_GB2312"/>
          <w:sz w:val="28"/>
          <w:szCs w:val="28"/>
        </w:rPr>
      </w:pPr>
      <w:r>
        <w:rPr>
          <w:rFonts w:hint="eastAsia" w:ascii="仿宋_GB2312" w:hAnsi="宋体" w:eastAsia="仿宋_GB2312"/>
          <w:sz w:val="28"/>
          <w:szCs w:val="28"/>
        </w:rPr>
        <w:t>须携二代身份证到兴化市公共资源交易中心参加身份核验并递交预审材料。递交时间为：。</w:t>
      </w:r>
    </w:p>
    <w:p>
      <w:pPr>
        <w:shd w:val="clear" w:color="auto" w:fill="FFFFFF"/>
        <w:spacing w:line="460" w:lineRule="exact"/>
        <w:ind w:firstLine="426" w:firstLineChars="152"/>
        <w:jc w:val="left"/>
        <w:rPr>
          <w:rFonts w:ascii="仿宋_GB2312" w:hAnsi="宋体" w:eastAsia="仿宋_GB2312"/>
          <w:sz w:val="28"/>
          <w:szCs w:val="28"/>
        </w:rPr>
      </w:pPr>
      <w:r>
        <w:rPr>
          <w:rFonts w:hint="eastAsia" w:ascii="仿宋_GB2312" w:hAnsi="宋体" w:eastAsia="仿宋_GB2312"/>
          <w:sz w:val="28"/>
          <w:szCs w:val="28"/>
        </w:rPr>
        <w:t>1.2.2资格预审材料递交截止时间：。</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1.2.3招标人组织资格审查委员会对所有投标人递交的材料进行资格预审。</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1.2.4网上发布资格预审结果公告。凡未列入预审不合格名单中的投标申请人，均为预审合格单位。招标人不再另行通知。</w:t>
      </w:r>
    </w:p>
    <w:p>
      <w:pPr>
        <w:spacing w:line="460" w:lineRule="exact"/>
        <w:ind w:firstLine="560" w:firstLineChars="200"/>
        <w:rPr>
          <w:rFonts w:ascii="仿宋_GB2312" w:hAnsi="宋体" w:eastAsia="仿宋_GB2312"/>
          <w:color w:val="993300"/>
          <w:sz w:val="28"/>
          <w:szCs w:val="28"/>
        </w:rPr>
      </w:pPr>
      <w:r>
        <w:rPr>
          <w:rFonts w:hint="eastAsia" w:ascii="仿宋_GB2312" w:hAnsi="宋体" w:eastAsia="仿宋_GB2312"/>
          <w:color w:val="993300"/>
          <w:sz w:val="28"/>
          <w:szCs w:val="28"/>
        </w:rPr>
        <w:t>1.2.5所有资格预审合格的投标申请人全部参加投标。经资格预审确定的潜在投标人须在资格预审结果公告规定的招标文件发售时间内购买招标文件，不获取招标文件或者获取招标文件后放弃投标的，除不可抗力情况外，招投标监管部门将予以不良行为记录和公示。</w:t>
      </w:r>
    </w:p>
    <w:p>
      <w:pPr>
        <w:spacing w:line="460" w:lineRule="exact"/>
        <w:ind w:firstLine="560" w:firstLineChars="200"/>
        <w:rPr>
          <w:rFonts w:ascii="仿宋_GB2312" w:hAnsi="宋体" w:eastAsia="仿宋_GB2312"/>
          <w:color w:val="993300"/>
          <w:sz w:val="28"/>
          <w:szCs w:val="28"/>
        </w:rPr>
      </w:pPr>
      <w:r>
        <w:rPr>
          <w:rFonts w:hint="eastAsia" w:ascii="仿宋_GB2312" w:hAnsi="宋体" w:eastAsia="仿宋_GB2312"/>
          <w:color w:val="993300"/>
          <w:sz w:val="28"/>
          <w:szCs w:val="28"/>
        </w:rPr>
        <w:t>1.2.6资格预审结束后至投标截止日前，须将投标保证金汇入指定账户（以交易中心账户实际到账时间为准），否则将被拒绝投标并根据相关规定按无故放弃投标处理；投标保证金为网上银行或电汇提交，不得以其它形式提交投标保证金。资审合格投标人在投标前须向</w:t>
      </w:r>
      <w:r>
        <w:rPr>
          <w:rFonts w:hint="eastAsia" w:ascii="仿宋_GB2312" w:hAnsi="宋体" w:eastAsia="仿宋_GB2312" w:cs="Arial"/>
          <w:color w:val="000000"/>
          <w:kern w:val="0"/>
          <w:sz w:val="28"/>
          <w:szCs w:val="28"/>
        </w:rPr>
        <w:t>兴化市政务服务中心（</w:t>
      </w:r>
      <w:r>
        <w:rPr>
          <w:rFonts w:hint="eastAsia" w:ascii="仿宋_GB2312" w:hAnsi="宋体" w:eastAsia="仿宋_GB2312"/>
          <w:color w:val="000000"/>
          <w:kern w:val="0"/>
          <w:sz w:val="28"/>
          <w:szCs w:val="28"/>
          <w:highlight w:val="white"/>
        </w:rPr>
        <w:t>从会员系统获取子账号</w:t>
      </w:r>
      <w:r>
        <w:rPr>
          <w:rFonts w:hint="eastAsia" w:ascii="仿宋_GB2312" w:hAnsi="宋体" w:eastAsia="仿宋_GB2312" w:cs="Arial"/>
          <w:color w:val="000000"/>
          <w:kern w:val="0"/>
          <w:sz w:val="28"/>
          <w:szCs w:val="28"/>
        </w:rPr>
        <w:t>）</w:t>
      </w:r>
      <w:r>
        <w:rPr>
          <w:rFonts w:hint="eastAsia" w:ascii="仿宋_GB2312" w:hAnsi="宋体" w:eastAsia="仿宋_GB2312"/>
          <w:color w:val="993300"/>
          <w:sz w:val="28"/>
          <w:szCs w:val="28"/>
        </w:rPr>
        <w:t>交纳投标保证金。投标人提交的银行票据中的付款单位名称必须与投标人的法人名称一致；任何以个人或非投标人法人单位名称的名义提交的投标保证金都将被拒绝接收。</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2、适用于资格后审</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1.1提供材料</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企业法人营业执照</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企业资质等级证书</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t>□企业安全生产许可证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企业基本存款账户开户许可证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项目负责人资质证书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项目负责人职称证书</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t>□项目负责人安全生产考核合格证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项目负责人养老保险证明（详见本文件第一条2.7）</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对投标人、项目负责人的信誉要求：投标人及项目负责人近两年内无行贿犯罪档案记录。</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省外建筑施工企业须提供建设行政主管部门发放的《省外建筑施工企业资质核验书》。</w:t>
      </w:r>
    </w:p>
    <w:p>
      <w:pPr>
        <w:tabs>
          <w:tab w:val="left" w:pos="928"/>
        </w:tabs>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□业绩证明（包括：□经招投标管理部门备案的中标通知书□合同</w:t>
      </w:r>
    </w:p>
    <w:p>
      <w:pPr>
        <w:tabs>
          <w:tab w:val="left" w:pos="920"/>
        </w:tabs>
        <w:spacing w:line="460" w:lineRule="exact"/>
        <w:ind w:left="920" w:firstLine="560" w:firstLineChars="200"/>
        <w:rPr>
          <w:rFonts w:ascii="仿宋_GB2312" w:hAnsi="宋体" w:eastAsia="仿宋_GB2312"/>
          <w:sz w:val="28"/>
          <w:szCs w:val="28"/>
        </w:rPr>
      </w:pPr>
      <w:r>
        <w:rPr>
          <w:rFonts w:hint="eastAsia" w:ascii="仿宋_GB2312" w:hAnsi="宋体" w:eastAsia="仿宋_GB2312"/>
          <w:sz w:val="28"/>
          <w:szCs w:val="28"/>
        </w:rPr>
        <w:t>□建设、施工、监理、设计四方签署的工程竣工验收报告）</w:t>
      </w:r>
    </w:p>
    <w:p>
      <w:pPr>
        <w:spacing w:line="460" w:lineRule="exact"/>
        <w:ind w:left="561" w:leftChars="267"/>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有在建工程的项目总监，按本文件第一条2.6.4的要求提供证明材料。</w:t>
      </w:r>
    </w:p>
    <w:p>
      <w:pPr>
        <w:spacing w:line="460" w:lineRule="exact"/>
        <w:ind w:firstLine="140" w:firstLineChars="50"/>
        <w:rPr>
          <w:rFonts w:ascii="仿宋_GB2312" w:hAnsi="宋体" w:eastAsia="仿宋_GB2312"/>
          <w:sz w:val="28"/>
          <w:szCs w:val="28"/>
        </w:rPr>
      </w:pP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□其他：/</w:t>
      </w:r>
    </w:p>
    <w:p>
      <w:pPr>
        <w:spacing w:line="460" w:lineRule="exact"/>
        <w:ind w:left="560"/>
        <w:rPr>
          <w:rFonts w:ascii="仿宋_GB2312" w:hAnsi="宋体" w:eastAsia="仿宋_GB2312"/>
          <w:sz w:val="28"/>
          <w:szCs w:val="28"/>
        </w:rPr>
      </w:pPr>
      <w:r>
        <w:rPr>
          <w:rFonts w:hint="eastAsia" w:ascii="仿宋_GB2312" w:hAnsi="宋体" w:eastAsia="仿宋_GB2312"/>
          <w:b/>
          <w:sz w:val="28"/>
          <w:szCs w:val="28"/>
        </w:rPr>
        <w:t>说明</w:t>
      </w:r>
      <w:r>
        <w:rPr>
          <w:rFonts w:hint="eastAsia" w:ascii="仿宋_GB2312" w:hAnsi="宋体" w:eastAsia="仿宋_GB2312"/>
          <w:sz w:val="28"/>
          <w:szCs w:val="28"/>
        </w:rPr>
        <w:t>：上述所列证书、证件和证明均须从</w:t>
      </w:r>
      <w:r>
        <w:rPr>
          <w:rFonts w:hint="eastAsia" w:ascii="仿宋_GB2312" w:hAnsi="宋体" w:eastAsia="仿宋_GB2312"/>
          <w:color w:val="FF0000"/>
          <w:sz w:val="28"/>
          <w:szCs w:val="28"/>
          <w:u w:val="single"/>
        </w:rPr>
        <w:t>兴化市招投标诚信库获取上传。</w:t>
      </w:r>
      <w:r>
        <w:rPr>
          <w:rFonts w:hint="eastAsia" w:ascii="仿宋_GB2312" w:hAnsi="宋体" w:eastAsia="仿宋_GB2312"/>
          <w:sz w:val="28"/>
          <w:szCs w:val="28"/>
        </w:rPr>
        <w:t>诚信库未列入的内容，由投标人上传相关资料原件扫描件（或原件截图）。</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1.2参加资格审查方式</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评标时由评标委员会按招标文件的规定和标准对投标人上传的资格审查材料进行资格后审。</w:t>
      </w:r>
    </w:p>
    <w:p>
      <w:pPr>
        <w:shd w:val="clear" w:color="auto" w:fill="FFFFFF"/>
        <w:spacing w:line="460" w:lineRule="exact"/>
        <w:jc w:val="left"/>
        <w:textAlignment w:val="baseline"/>
        <w:rPr>
          <w:rFonts w:ascii="仿宋_GB2312" w:hAnsi="宋体" w:eastAsia="仿宋_GB2312"/>
          <w:b/>
          <w:sz w:val="28"/>
          <w:szCs w:val="28"/>
        </w:rPr>
      </w:pPr>
      <w:r>
        <w:rPr>
          <w:rFonts w:hint="eastAsia" w:ascii="仿宋_GB2312" w:hAnsi="宋体" w:eastAsia="仿宋_GB2312"/>
          <w:b/>
          <w:sz w:val="28"/>
          <w:szCs w:val="28"/>
        </w:rPr>
        <w:t>三．评标方法</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1、本工程采用评标方法：</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合理价随机确定中标人法。</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w:t>
      </w:r>
      <w:bookmarkStart w:id="0" w:name="_7.1_中标公示"/>
      <w:bookmarkEnd w:id="0"/>
      <w:r>
        <w:rPr>
          <w:rFonts w:hint="eastAsia" w:ascii="仿宋_GB2312" w:hAnsi="宋体" w:eastAsia="仿宋_GB2312"/>
          <w:sz w:val="28"/>
          <w:szCs w:val="28"/>
        </w:rPr>
        <w:t>按招标文件的规定对投标文件进行评审。</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评标委员会从通过评审的合格投标人中以随机抽签的方式确定三名中标候选人。（详见招标文件）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说明：评标委员会在评标报告上签字后，根据本定标办法随机抽签确定的中标候选人排名不因招投标当事人质疑、投诉、复议以及其他任何情形而改变。因质疑、投诉、复议以及其他任何情形使得原无效标（或废标）重新判定为有效标的，招标人不组织评标委员会重新抽签确定候选人排名，但应向招投标监管机构报告，由招投标监管机构根据有关规定进行问责处理。</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□合理低价法。</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评标委员会对满足招标文件实质性要求的投标文件，从投标报价（</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分）、信用评价（</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分）、算术错误（</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分）、细微偏差（</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等方面按照招标文件确定的评分标准进行详细评审、合计总分，并按得分由高到低顺序推荐中标候选人。合计总分相等时，以投标报价低的优先；投标报价也相等的，由招标人随机抽签确定。（详见招标文件）</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□经评审的最低投标价法。</w:t>
      </w:r>
    </w:p>
    <w:p>
      <w:pPr>
        <w:spacing w:line="460" w:lineRule="exact"/>
        <w:ind w:firstLine="700" w:firstLineChars="250"/>
        <w:rPr>
          <w:rFonts w:ascii="仿宋_GB2312" w:hAnsi="宋体" w:eastAsia="仿宋_GB2312"/>
          <w:sz w:val="28"/>
          <w:szCs w:val="28"/>
        </w:rPr>
      </w:pPr>
      <w:r>
        <w:rPr>
          <w:rFonts w:hint="eastAsia" w:ascii="仿宋_GB2312" w:hAnsi="宋体" w:eastAsia="仿宋_GB2312"/>
          <w:sz w:val="28"/>
          <w:szCs w:val="28"/>
        </w:rPr>
        <w:t>评标委员会在满足招标文件实质性要求的有效投标文件中，按评标价由低到高的次序推荐中标候选人，并标明排序。中标候选人排序时，如投标报价相等，由招标人随机抽签确定排序。（详见招标文件）</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□综合评估法。</w:t>
      </w:r>
    </w:p>
    <w:p>
      <w:pPr>
        <w:spacing w:line="460" w:lineRule="exact"/>
        <w:ind w:firstLine="700" w:firstLineChars="250"/>
        <w:rPr>
          <w:rFonts w:ascii="仿宋_GB2312" w:hAnsi="宋体" w:eastAsia="仿宋_GB2312"/>
          <w:sz w:val="28"/>
          <w:szCs w:val="28"/>
        </w:rPr>
      </w:pPr>
      <w:r>
        <w:rPr>
          <w:rFonts w:hint="eastAsia" w:ascii="仿宋_GB2312" w:hAnsi="宋体" w:eastAsia="仿宋_GB2312"/>
          <w:sz w:val="28"/>
          <w:szCs w:val="28"/>
        </w:rPr>
        <w:t>评标委员会对满足招标文件实质性要求的投标文件，从施工组织设计（</w:t>
      </w:r>
      <w:r>
        <w:rPr>
          <w:rFonts w:hint="eastAsia" w:ascii="仿宋_GB2312" w:hAnsi="宋体" w:eastAsia="仿宋_GB2312"/>
          <w:i/>
          <w:sz w:val="28"/>
          <w:szCs w:val="28"/>
          <w:u w:val="single"/>
        </w:rPr>
        <w:t>　　</w:t>
      </w:r>
      <w:r>
        <w:rPr>
          <w:rFonts w:hint="eastAsia" w:ascii="仿宋_GB2312" w:hAnsi="宋体" w:eastAsia="仿宋_GB2312"/>
          <w:sz w:val="28"/>
          <w:szCs w:val="28"/>
        </w:rPr>
        <w:t>分）、项目管理机构（答辩）</w:t>
      </w:r>
      <w:r>
        <w:rPr>
          <w:rFonts w:hint="eastAsia" w:ascii="仿宋_GB2312" w:hAnsi="宋体" w:eastAsia="仿宋_GB2312"/>
          <w:i/>
          <w:sz w:val="28"/>
          <w:szCs w:val="28"/>
          <w:u w:val="single"/>
        </w:rPr>
        <w:t>　　</w:t>
      </w:r>
      <w:r>
        <w:rPr>
          <w:rFonts w:hint="eastAsia" w:ascii="仿宋_GB2312" w:hAnsi="宋体" w:eastAsia="仿宋_GB2312"/>
          <w:sz w:val="28"/>
          <w:szCs w:val="28"/>
        </w:rPr>
        <w:t>分）、投标报价（</w:t>
      </w:r>
      <w:r>
        <w:rPr>
          <w:rFonts w:hint="eastAsia" w:ascii="仿宋_GB2312" w:hAnsi="宋体" w:eastAsia="仿宋_GB2312"/>
          <w:i/>
          <w:sz w:val="28"/>
          <w:szCs w:val="28"/>
          <w:u w:val="single"/>
        </w:rPr>
        <w:t>　　</w:t>
      </w:r>
      <w:r>
        <w:rPr>
          <w:rFonts w:hint="eastAsia" w:ascii="仿宋_GB2312" w:hAnsi="宋体" w:eastAsia="仿宋_GB2312"/>
          <w:sz w:val="28"/>
          <w:szCs w:val="28"/>
        </w:rPr>
        <w:t>分）、信用评价（</w:t>
      </w:r>
      <w:r>
        <w:rPr>
          <w:rFonts w:hint="eastAsia" w:ascii="仿宋_GB2312" w:hAnsi="宋体" w:eastAsia="仿宋_GB2312"/>
          <w:i/>
          <w:sz w:val="28"/>
          <w:szCs w:val="28"/>
          <w:u w:val="single"/>
        </w:rPr>
        <w:t>　　</w:t>
      </w:r>
      <w:r>
        <w:rPr>
          <w:rFonts w:hint="eastAsia" w:ascii="仿宋_GB2312" w:hAnsi="宋体" w:eastAsia="仿宋_GB2312"/>
          <w:sz w:val="28"/>
          <w:szCs w:val="28"/>
        </w:rPr>
        <w:t>分）、奖项（</w:t>
      </w:r>
      <w:r>
        <w:rPr>
          <w:rFonts w:hint="eastAsia" w:ascii="仿宋_GB2312" w:hAnsi="宋体" w:eastAsia="仿宋_GB2312"/>
          <w:i/>
          <w:sz w:val="28"/>
          <w:szCs w:val="28"/>
          <w:u w:val="single"/>
        </w:rPr>
        <w:t>　　</w:t>
      </w:r>
      <w:r>
        <w:rPr>
          <w:rFonts w:hint="eastAsia" w:ascii="仿宋_GB2312" w:hAnsi="宋体" w:eastAsia="仿宋_GB2312"/>
          <w:sz w:val="28"/>
          <w:szCs w:val="28"/>
        </w:rPr>
        <w:t>分）、投标人类似项目业绩（</w:t>
      </w:r>
      <w:r>
        <w:rPr>
          <w:rFonts w:hint="eastAsia" w:ascii="仿宋_GB2312" w:hAnsi="宋体" w:eastAsia="仿宋_GB2312"/>
          <w:i/>
          <w:sz w:val="28"/>
          <w:szCs w:val="28"/>
          <w:u w:val="single"/>
        </w:rPr>
        <w:t>　　</w:t>
      </w:r>
      <w:r>
        <w:rPr>
          <w:rFonts w:hint="eastAsia" w:ascii="仿宋_GB2312" w:hAnsi="宋体" w:eastAsia="仿宋_GB2312"/>
          <w:sz w:val="28"/>
          <w:szCs w:val="28"/>
        </w:rPr>
        <w:t>分）、算术错误（</w:t>
      </w:r>
      <w:r>
        <w:rPr>
          <w:rFonts w:hint="eastAsia" w:ascii="仿宋_GB2312" w:hAnsi="宋体" w:eastAsia="仿宋_GB2312"/>
          <w:i/>
          <w:sz w:val="28"/>
          <w:szCs w:val="28"/>
          <w:u w:val="single"/>
        </w:rPr>
        <w:t>　　</w:t>
      </w:r>
      <w:r>
        <w:rPr>
          <w:rFonts w:hint="eastAsia" w:ascii="仿宋_GB2312" w:hAnsi="宋体" w:eastAsia="仿宋_GB2312"/>
          <w:sz w:val="28"/>
          <w:szCs w:val="28"/>
        </w:rPr>
        <w:t>分）、细微偏差（</w:t>
      </w:r>
      <w:r>
        <w:rPr>
          <w:rFonts w:hint="eastAsia" w:ascii="仿宋_GB2312" w:hAnsi="宋体" w:eastAsia="仿宋_GB2312"/>
          <w:i/>
          <w:sz w:val="28"/>
          <w:szCs w:val="28"/>
          <w:u w:val="single"/>
        </w:rPr>
        <w:t>　　</w:t>
      </w:r>
      <w:r>
        <w:rPr>
          <w:rFonts w:hint="eastAsia" w:ascii="仿宋_GB2312" w:hAnsi="宋体" w:eastAsia="仿宋_GB2312"/>
          <w:sz w:val="28"/>
          <w:szCs w:val="28"/>
        </w:rPr>
        <w:t>分）等方面按照招标文件确定的评分标准进行详细评审、综合计分，并按得分由高到低顺序推荐中标候选人。综合评分相等时，以投标报价低的优先；投标报价也相等的，由招标人随机抽签确定。（详见招标文件）</w:t>
      </w:r>
    </w:p>
    <w:p>
      <w:pPr>
        <w:shd w:val="clear" w:color="auto" w:fill="FFFFFF"/>
        <w:spacing w:line="460" w:lineRule="exact"/>
        <w:ind w:firstLine="412" w:firstLineChars="147"/>
        <w:rPr>
          <w:rFonts w:ascii="仿宋_GB2312" w:hAnsi="宋体" w:eastAsia="仿宋_GB2312"/>
          <w:sz w:val="28"/>
          <w:szCs w:val="28"/>
        </w:rPr>
      </w:pPr>
      <w:r>
        <w:rPr>
          <w:rFonts w:hint="eastAsia" w:ascii="仿宋_GB2312" w:hAnsi="宋体" w:eastAsia="仿宋_GB2312"/>
          <w:sz w:val="28"/>
          <w:szCs w:val="28"/>
        </w:rPr>
        <w:t>2、投标报价的评审标准及评标基准价的确定</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□方法一：以有效投标文件的最低投标报价为评标基准价，投标报价等于评标基准价的得满分；偏离评标基准价的，相应扣减得分。</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 xml:space="preserve">□方法二：以有效投标文件的投标报价算术平均值为 A、招标控制价为B，则: </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评标基准价C=A×K1×Q1+B×K2×Q2</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Q2=1-Q1, Q1、Q2 取值一般均应≥30%；Q1取值范围为30%、40%、50%、60%、70%，K1取值范围为95%、96%、97%、98%，K2取值范围□按土建工程类别：招标控制价的85%～80%□按市政工程类别：招标控制价的82%～78%   □按装饰、园林绿化等专业工程类别：招标控制价的80%～75%），Q1、K1 、K2值开标时随机抽取确定；投标报价等于评标基准价的得满分；偏离评标基准价的相应扣减得分。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□方法三：以有效投标文件的投标报价算术平均值为 A，评标基准价 C=A×K，（K取值范围为95%、96%、97%、98%，开标时随机抽取确定）。投标报价等于评标基准价的得满分；偏离评标基准价的相应扣减得分。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□方法四：招标控制价为B，评标基准价C=B×K</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K值的取值范围由招标人根据工程的实际情况确定。</w:t>
      </w:r>
    </w:p>
    <w:p>
      <w:pPr>
        <w:shd w:val="clear" w:color="auto" w:fill="FFFFFF"/>
        <w:spacing w:line="460" w:lineRule="exact"/>
        <w:ind w:left="141" w:leftChars="67" w:firstLine="386" w:firstLineChars="138"/>
        <w:jc w:val="left"/>
        <w:rPr>
          <w:rFonts w:ascii="仿宋_GB2312" w:hAnsi="宋体" w:eastAsia="仿宋_GB2312"/>
          <w:sz w:val="28"/>
          <w:szCs w:val="28"/>
        </w:rPr>
      </w:pPr>
      <w:r>
        <w:rPr>
          <w:rFonts w:hint="eastAsia" w:ascii="仿宋_GB2312" w:hAnsi="宋体" w:eastAsia="仿宋_GB2312"/>
          <w:sz w:val="28"/>
          <w:szCs w:val="28"/>
        </w:rPr>
        <w:t>本工程K值的取值范围是：□按土建工程类别： 85%～80%；□按市政工程类别： 82%～78%  ；□按装饰、园林绿化等专业工程类别： 80%～75%。K值的具体数值开标时随机抽取确定。投标报价等于基准价的得满分；偏离基准价的相应扣减得分。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说明：</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1.投标报价指经澄清、补正和修正算术计算错误的报价;</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2.评标委员会在评标报告上签字后，上述方法二、方法三和方法四的评标基准价不因招投标当事人质疑、投诉、复议以及其它任何情形而改变；</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3.投标报价相对评标基准价每偏离 1%，扣减一定的分值，偏离不足1%的，按照插入法计算得分。</w:t>
      </w:r>
    </w:p>
    <w:p>
      <w:pPr>
        <w:spacing w:line="460" w:lineRule="exact"/>
        <w:ind w:firstLine="560" w:firstLineChars="200"/>
        <w:rPr>
          <w:rFonts w:ascii="仿宋_GB2312" w:hAnsi="宋体" w:eastAsia="仿宋_GB2312"/>
          <w:b/>
          <w:color w:val="C00000"/>
          <w:kern w:val="0"/>
          <w:szCs w:val="21"/>
        </w:rPr>
      </w:pPr>
      <w:r>
        <w:rPr>
          <w:rFonts w:hint="eastAsia" w:ascii="仿宋_GB2312" w:hAnsi="宋体" w:eastAsia="仿宋_GB2312"/>
          <w:sz w:val="28"/>
          <w:szCs w:val="28"/>
        </w:rPr>
        <w:t>4.有效投标文件是指未被评标委员会判定为无效标的投标文件。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5、方法二、方法三中的投标报价算术平均值的计算方式是：合格投标人＜7家时，其投标报价全部参与计算算术平均值；7家≤合格投标人＜10家时，去掉其中1个最低和1个最高投标价后计算算术平均值；合格投标人≥10家时，去掉其中2个最低和2个最高投标价后计算算术平均值。</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6、方法四K值确定的具体方法和程序是：开标抽取K值前，先抽取K值幅度值，K值幅度值按类别（土建、市政、装饰绿化）分别设置三个备选组，第一组对应幅度为0.2%，第二组为0.25%，第三组为0.5%，建设单位或监督部门人员随机选择一名投标人以随机摇号的方式抽取并确定组号； K值幅度值组号确定后，再由建设单位或监督部门人员随机选择二名投标人分别摇号，摇出的球号分别对应一个K数值，二名投标人抽取的K数值的平均值为本工程最终K值。</w:t>
      </w:r>
    </w:p>
    <w:sectPr>
      <w:footerReference r:id="rId5" w:type="first"/>
      <w:footerReference r:id="rId3" w:type="default"/>
      <w:footerReference r:id="rId4" w:type="even"/>
      <w:pgSz w:w="11906" w:h="16838"/>
      <w:pgMar w:top="1134" w:right="1274" w:bottom="1702" w:left="1276" w:header="680"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swiss"/>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ˎ̥">
    <w:altName w:val="Times New Roman"/>
    <w:panose1 w:val="00000000000000000000"/>
    <w:charset w:val="01"/>
    <w:family w:val="decorative"/>
    <w:pitch w:val="default"/>
    <w:sig w:usb0="00000000" w:usb1="00000000" w:usb2="00000000" w:usb3="00000000" w:csb0="00040001" w:csb1="00000000"/>
  </w:font>
  <w:font w:name="Arial">
    <w:panose1 w:val="020B0604020202020204"/>
    <w:charset w:val="00"/>
    <w:family w:val="decorative"/>
    <w:pitch w:val="default"/>
    <w:sig w:usb0="00007A87" w:usb1="80000000" w:usb2="00000008" w:usb3="00000000" w:csb0="400001FF" w:csb1="FFFF0000"/>
  </w:font>
  <w:font w:name="黑体">
    <w:panose1 w:val="02010600030101010101"/>
    <w:charset w:val="86"/>
    <w:family w:val="swiss"/>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Arial">
    <w:panose1 w:val="020B0604020202020204"/>
    <w:charset w:val="00"/>
    <w:family w:val="roman"/>
    <w:pitch w:val="default"/>
    <w:sig w:usb0="00007A87" w:usb1="80000000" w:usb2="00000008" w:usb3="00000000" w:csb0="400001FF" w:csb1="FFFF0000"/>
  </w:font>
  <w:font w:name="黑体">
    <w:panose1 w:val="02010600030101010101"/>
    <w:charset w:val="86"/>
    <w:family w:val="decorative"/>
    <w:pitch w:val="default"/>
    <w:sig w:usb0="00000001" w:usb1="080E0000" w:usb2="00000000" w:usb3="00000000" w:csb0="00040000" w:csb1="00000000"/>
  </w:font>
  <w:font w:name="ˎ̥">
    <w:altName w:val="Times New Roman"/>
    <w:panose1 w:val="00000000000000000000"/>
    <w:charset w:val="01"/>
    <w:family w:val="modern"/>
    <w:pitch w:val="default"/>
    <w:sig w:usb0="00000000" w:usb1="00000000" w:usb2="00000000" w:usb3="00000000" w:csb0="00040001" w:csb1="00000000"/>
  </w:font>
  <w:font w:name="Arial">
    <w:panose1 w:val="020B0604020202020204"/>
    <w:charset w:val="00"/>
    <w:family w:val="modern"/>
    <w:pitch w:val="default"/>
    <w:sig w:usb0="00007A87" w:usb1="80000000" w:usb2="00000008" w:usb3="00000000" w:csb0="400001FF" w:csb1="FFFF0000"/>
  </w:font>
  <w:font w:name="Courier New">
    <w:panose1 w:val="02070309020205020404"/>
    <w:charset w:val="00"/>
    <w:family w:val="roman"/>
    <w:pitch w:val="default"/>
    <w:sig w:usb0="00007A87" w:usb1="80000000" w:usb2="00000008" w:usb3="00000000" w:csb0="400001FF" w:csb1="FFFF0000"/>
  </w:font>
  <w:font w:name="楷体_GB2312">
    <w:panose1 w:val="02010609030101010101"/>
    <w:charset w:val="86"/>
    <w:family w:val="roma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00" w:usb3="00000000" w:csb0="00040000" w:csb1="00000000"/>
  </w:font>
  <w:font w:name="仿宋">
    <w:altName w:val="宋体"/>
    <w:panose1 w:val="02010609060101010101"/>
    <w:charset w:val="86"/>
    <w:family w:val="roman"/>
    <w:pitch w:val="default"/>
    <w:sig w:usb0="00000000" w:usb1="00000000" w:usb2="00000016"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TimesNewRomanPSMT">
    <w:altName w:val="Times New Roman"/>
    <w:panose1 w:val="00000000000000000000"/>
    <w:charset w:val="00"/>
    <w:family w:val="decorative"/>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黑体">
    <w:panose1 w:val="02010600030101010101"/>
    <w:charset w:val="86"/>
    <w:family w:val="roman"/>
    <w:pitch w:val="default"/>
    <w:sig w:usb0="00000001" w:usb1="080E0000" w:usb2="00000000" w:usb3="00000000" w:csb0="00040000" w:csb1="00000000"/>
  </w:font>
  <w:font w:name="ˎ̥">
    <w:altName w:val="Times New Roman"/>
    <w:panose1 w:val="00000000000000000000"/>
    <w:charset w:val="01"/>
    <w:family w:val="swiss"/>
    <w:pitch w:val="default"/>
    <w:sig w:usb0="00000000" w:usb1="00000000" w:usb2="00000000" w:usb3="00000000" w:csb0="00040001" w:csb1="00000000"/>
  </w:font>
  <w:font w:name="Courier New">
    <w:panose1 w:val="02070309020205020404"/>
    <w:charset w:val="00"/>
    <w:family w:val="swiss"/>
    <w:pitch w:val="default"/>
    <w:sig w:usb0="00007A87" w:usb1="80000000" w:usb2="00000008" w:usb3="00000000" w:csb0="400001FF" w:csb1="FFFF0000"/>
  </w:font>
  <w:font w:name="楷体_GB2312">
    <w:panose1 w:val="02010609030101010101"/>
    <w:charset w:val="86"/>
    <w:family w:val="swiss"/>
    <w:pitch w:val="default"/>
    <w:sig w:usb0="00000001" w:usb1="080E0000" w:usb2="00000000" w:usb3="00000000" w:csb0="00040000" w:csb1="00000000"/>
  </w:font>
  <w:font w:name="仿宋">
    <w:altName w:val="宋体"/>
    <w:panose1 w:val="02010609060101010101"/>
    <w:charset w:val="86"/>
    <w:family w:val="swiss"/>
    <w:pitch w:val="default"/>
    <w:sig w:usb0="00000000" w:usb1="00000000"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TimesNewRomanPSMT">
    <w:altName w:val="Times New Roman"/>
    <w:panose1 w:val="00000000000000000000"/>
    <w:charset w:val="00"/>
    <w:family w:val="modern"/>
    <w:pitch w:val="default"/>
    <w:sig w:usb0="00000000" w:usb1="00000000" w:usb2="00000000" w:usb3="00000000" w:csb0="00000001" w:csb1="00000000"/>
  </w:font>
  <w:font w:name="Courier New">
    <w:panose1 w:val="02070309020205020404"/>
    <w:charset w:val="00"/>
    <w:family w:val="decorative"/>
    <w:pitch w:val="default"/>
    <w:sig w:usb0="00007A87" w:usb1="80000000" w:usb2="00000008" w:usb3="00000000" w:csb0="400001FF" w:csb1="FFFF0000"/>
  </w:font>
  <w:font w:name="楷体_GB2312">
    <w:panose1 w:val="02010609030101010101"/>
    <w:charset w:val="86"/>
    <w:family w:val="decorative"/>
    <w:pitch w:val="default"/>
    <w:sig w:usb0="00000001" w:usb1="080E0000" w:usb2="00000000" w:usb3="00000000" w:csb0="00040000" w:csb1="00000000"/>
  </w:font>
  <w:font w:name="仿宋">
    <w:altName w:val="宋体"/>
    <w:panose1 w:val="02010609060101010101"/>
    <w:charset w:val="86"/>
    <w:family w:val="decorative"/>
    <w:pitch w:val="default"/>
    <w:sig w:usb0="00000000" w:usb1="00000000" w:usb2="00000016"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TimesNewRomanPSMT">
    <w:altName w:val="Times New Roman"/>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RomanS">
    <w:panose1 w:val="02000400000000000000"/>
    <w:charset w:val="00"/>
    <w:family w:val="auto"/>
    <w:pitch w:val="default"/>
    <w:sig w:usb0="00000207" w:usb1="00000000" w:usb2="00000000" w:usb3="00000000" w:csb0="000001FF"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decorative"/>
    <w:pitch w:val="default"/>
    <w:sig w:usb0="80000287" w:usb1="2A0F3C52" w:usb2="00000016" w:usb3="00000000" w:csb0="0004001F" w:csb1="00000000"/>
  </w:font>
  <w:font w:name="微软雅黑">
    <w:panose1 w:val="020B0503020204020204"/>
    <w:charset w:val="86"/>
    <w:family w:val="roman"/>
    <w:pitch w:val="default"/>
    <w:sig w:usb0="80000287" w:usb1="2A0F3C52" w:usb2="00000016" w:usb3="00000000" w:csb0="0004001F" w:csb1="00000000"/>
  </w:font>
  <w:font w:name="Verdana">
    <w:panose1 w:val="020B0604030504040204"/>
    <w:charset w:val="00"/>
    <w:family w:val="modern"/>
    <w:pitch w:val="default"/>
    <w:sig w:usb0="00000287" w:usb1="00000000" w:usb2="00000000" w:usb3="00000000" w:csb0="2000019F" w:csb1="00000000"/>
  </w:font>
  <w:font w:name="微软雅黑">
    <w:panose1 w:val="020B0503020204020204"/>
    <w:charset w:val="86"/>
    <w:family w:val="modern"/>
    <w:pitch w:val="default"/>
    <w:sig w:usb0="80000287" w:usb1="2A0F3C52" w:usb2="00000016" w:usb3="00000000" w:csb0="0004001F"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auto"/>
    <w:pitch w:val="default"/>
    <w:sig w:usb0="61007A87" w:usb1="80000000" w:usb2="00000008" w:usb3="00000000" w:csb0="200101FF" w:csb1="20280000"/>
  </w:font>
  <w:font w:name="宋体-PUA">
    <w:panose1 w:val="02010600030101010101"/>
    <w:charset w:val="86"/>
    <w:family w:val="auto"/>
    <w:pitch w:val="default"/>
    <w:sig w:usb0="00000000" w:usb1="1000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Verdana">
    <w:panose1 w:val="020B0604030504040204"/>
    <w:charset w:val="00"/>
    <w:family w:val="decorative"/>
    <w:pitch w:val="default"/>
    <w:sig w:usb0="00000287" w:usb1="00000000" w:usb2="00000000" w:usb3="00000000" w:csb0="2000019F" w:csb1="00000000"/>
  </w:font>
  <w:font w:name="Verdana">
    <w:panose1 w:val="020B0604030504040204"/>
    <w:charset w:val="00"/>
    <w:family w:val="roman"/>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37581"/>
    </w:sdtPr>
    <w:sdtContent>
      <w:p>
        <w:pPr>
          <w:pStyle w:val="5"/>
          <w:jc w:val="center"/>
        </w:pPr>
        <w:r>
          <w:fldChar w:fldCharType="begin"/>
        </w:r>
        <w:r>
          <w:instrText xml:space="preserve"> PAGE   \* MERGEFORMAT </w:instrText>
        </w:r>
        <w:r>
          <w:fldChar w:fldCharType="separate"/>
        </w:r>
        <w: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49995496">
    <w:nsid w:val="4A816AE8"/>
    <w:multiLevelType w:val="multilevel"/>
    <w:tmpl w:val="4A816AE8"/>
    <w:lvl w:ilvl="0" w:tentative="1">
      <w:start w:val="1"/>
      <w:numFmt w:val="bullet"/>
      <w:lvlText w:val="□"/>
      <w:lvlJc w:val="left"/>
      <w:pPr>
        <w:tabs>
          <w:tab w:val="left" w:pos="928"/>
        </w:tabs>
        <w:ind w:left="928" w:hanging="360"/>
      </w:pPr>
      <w:rPr>
        <w:rFonts w:hint="eastAsia" w:ascii="仿宋_GB2312" w:hAnsi="Calibri" w:eastAsia="仿宋_GB2312"/>
        <w:sz w:val="28"/>
        <w:lang w:val="en-US"/>
      </w:rPr>
    </w:lvl>
    <w:lvl w:ilvl="1" w:tentative="1">
      <w:start w:val="1"/>
      <w:numFmt w:val="bullet"/>
      <w:lvlText w:val=""/>
      <w:lvlJc w:val="left"/>
      <w:pPr>
        <w:tabs>
          <w:tab w:val="left" w:pos="1400"/>
        </w:tabs>
        <w:ind w:left="1400" w:hanging="420"/>
      </w:pPr>
      <w:rPr>
        <w:rFonts w:hint="default" w:ascii="Wingdings" w:hAnsi="Wingdings"/>
      </w:rPr>
    </w:lvl>
    <w:lvl w:ilvl="2" w:tentative="1">
      <w:start w:val="1"/>
      <w:numFmt w:val="bullet"/>
      <w:lvlText w:val=""/>
      <w:lvlJc w:val="left"/>
      <w:pPr>
        <w:tabs>
          <w:tab w:val="left" w:pos="1820"/>
        </w:tabs>
        <w:ind w:left="1820" w:hanging="420"/>
      </w:pPr>
      <w:rPr>
        <w:rFonts w:hint="default" w:ascii="Wingdings" w:hAnsi="Wingdings"/>
      </w:rPr>
    </w:lvl>
    <w:lvl w:ilvl="3" w:tentative="1">
      <w:start w:val="1"/>
      <w:numFmt w:val="bullet"/>
      <w:lvlText w:val=""/>
      <w:lvlJc w:val="left"/>
      <w:pPr>
        <w:tabs>
          <w:tab w:val="left" w:pos="2240"/>
        </w:tabs>
        <w:ind w:left="2240" w:hanging="420"/>
      </w:pPr>
      <w:rPr>
        <w:rFonts w:hint="default" w:ascii="Wingdings" w:hAnsi="Wingdings"/>
      </w:rPr>
    </w:lvl>
    <w:lvl w:ilvl="4" w:tentative="1">
      <w:start w:val="1"/>
      <w:numFmt w:val="bullet"/>
      <w:lvlText w:val=""/>
      <w:lvlJc w:val="left"/>
      <w:pPr>
        <w:tabs>
          <w:tab w:val="left" w:pos="2660"/>
        </w:tabs>
        <w:ind w:left="2660" w:hanging="420"/>
      </w:pPr>
      <w:rPr>
        <w:rFonts w:hint="default" w:ascii="Wingdings" w:hAnsi="Wingdings"/>
      </w:rPr>
    </w:lvl>
    <w:lvl w:ilvl="5" w:tentative="1">
      <w:start w:val="1"/>
      <w:numFmt w:val="bullet"/>
      <w:lvlText w:val=""/>
      <w:lvlJc w:val="left"/>
      <w:pPr>
        <w:tabs>
          <w:tab w:val="left" w:pos="3080"/>
        </w:tabs>
        <w:ind w:left="3080" w:hanging="420"/>
      </w:pPr>
      <w:rPr>
        <w:rFonts w:hint="default" w:ascii="Wingdings" w:hAnsi="Wingdings"/>
      </w:rPr>
    </w:lvl>
    <w:lvl w:ilvl="6" w:tentative="1">
      <w:start w:val="1"/>
      <w:numFmt w:val="bullet"/>
      <w:lvlText w:val=""/>
      <w:lvlJc w:val="left"/>
      <w:pPr>
        <w:tabs>
          <w:tab w:val="left" w:pos="3500"/>
        </w:tabs>
        <w:ind w:left="3500" w:hanging="420"/>
      </w:pPr>
      <w:rPr>
        <w:rFonts w:hint="default" w:ascii="Wingdings" w:hAnsi="Wingdings"/>
      </w:rPr>
    </w:lvl>
    <w:lvl w:ilvl="7" w:tentative="1">
      <w:start w:val="1"/>
      <w:numFmt w:val="bullet"/>
      <w:lvlText w:val=""/>
      <w:lvlJc w:val="left"/>
      <w:pPr>
        <w:tabs>
          <w:tab w:val="left" w:pos="3920"/>
        </w:tabs>
        <w:ind w:left="3920" w:hanging="420"/>
      </w:pPr>
      <w:rPr>
        <w:rFonts w:hint="default" w:ascii="Wingdings" w:hAnsi="Wingdings"/>
      </w:rPr>
    </w:lvl>
    <w:lvl w:ilvl="8" w:tentative="1">
      <w:start w:val="1"/>
      <w:numFmt w:val="bullet"/>
      <w:lvlText w:val=""/>
      <w:lvlJc w:val="left"/>
      <w:pPr>
        <w:tabs>
          <w:tab w:val="left" w:pos="4340"/>
        </w:tabs>
        <w:ind w:left="4340" w:hanging="420"/>
      </w:pPr>
      <w:rPr>
        <w:rFonts w:hint="default" w:ascii="Wingdings" w:hAnsi="Wingdings"/>
      </w:rPr>
    </w:lvl>
  </w:abstractNum>
  <w:num w:numId="1">
    <w:abstractNumId w:val="12499954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D5B45"/>
    <w:rsid w:val="0000772D"/>
    <w:rsid w:val="000172AF"/>
    <w:rsid w:val="00017ABB"/>
    <w:rsid w:val="0002308A"/>
    <w:rsid w:val="0002652F"/>
    <w:rsid w:val="000379D6"/>
    <w:rsid w:val="000529C8"/>
    <w:rsid w:val="0005669D"/>
    <w:rsid w:val="00064DF3"/>
    <w:rsid w:val="00065BB0"/>
    <w:rsid w:val="00082B31"/>
    <w:rsid w:val="00083B4A"/>
    <w:rsid w:val="00090B91"/>
    <w:rsid w:val="0009213F"/>
    <w:rsid w:val="00095CAF"/>
    <w:rsid w:val="00096F18"/>
    <w:rsid w:val="000A15B3"/>
    <w:rsid w:val="000A1A58"/>
    <w:rsid w:val="000A3427"/>
    <w:rsid w:val="000A3738"/>
    <w:rsid w:val="000A64C8"/>
    <w:rsid w:val="000B5982"/>
    <w:rsid w:val="000C0518"/>
    <w:rsid w:val="000C0D2C"/>
    <w:rsid w:val="000C2DED"/>
    <w:rsid w:val="000D3132"/>
    <w:rsid w:val="000E07CD"/>
    <w:rsid w:val="000E2DE0"/>
    <w:rsid w:val="000F4261"/>
    <w:rsid w:val="000F505F"/>
    <w:rsid w:val="00111B70"/>
    <w:rsid w:val="001136D9"/>
    <w:rsid w:val="00124539"/>
    <w:rsid w:val="00142A12"/>
    <w:rsid w:val="001470CA"/>
    <w:rsid w:val="001518A9"/>
    <w:rsid w:val="0015486F"/>
    <w:rsid w:val="0015624B"/>
    <w:rsid w:val="001605FE"/>
    <w:rsid w:val="00161E61"/>
    <w:rsid w:val="001636BA"/>
    <w:rsid w:val="0018072B"/>
    <w:rsid w:val="00181754"/>
    <w:rsid w:val="00191F6A"/>
    <w:rsid w:val="00196078"/>
    <w:rsid w:val="00196BC2"/>
    <w:rsid w:val="001A6921"/>
    <w:rsid w:val="001C1A1D"/>
    <w:rsid w:val="001E1354"/>
    <w:rsid w:val="00214230"/>
    <w:rsid w:val="0023072B"/>
    <w:rsid w:val="002321D9"/>
    <w:rsid w:val="0023764E"/>
    <w:rsid w:val="002404AA"/>
    <w:rsid w:val="002417B2"/>
    <w:rsid w:val="0024214A"/>
    <w:rsid w:val="00252CCF"/>
    <w:rsid w:val="002578A6"/>
    <w:rsid w:val="00261259"/>
    <w:rsid w:val="00266E36"/>
    <w:rsid w:val="00286769"/>
    <w:rsid w:val="00296D12"/>
    <w:rsid w:val="002A2143"/>
    <w:rsid w:val="002A73E3"/>
    <w:rsid w:val="002B0326"/>
    <w:rsid w:val="002B70B5"/>
    <w:rsid w:val="002D439D"/>
    <w:rsid w:val="002D4472"/>
    <w:rsid w:val="002E4B8C"/>
    <w:rsid w:val="002F6563"/>
    <w:rsid w:val="003032AA"/>
    <w:rsid w:val="0030331E"/>
    <w:rsid w:val="00305902"/>
    <w:rsid w:val="00312A1E"/>
    <w:rsid w:val="00313C9F"/>
    <w:rsid w:val="00322744"/>
    <w:rsid w:val="00336BB2"/>
    <w:rsid w:val="00337994"/>
    <w:rsid w:val="00342A6A"/>
    <w:rsid w:val="00343D89"/>
    <w:rsid w:val="00344C15"/>
    <w:rsid w:val="003474DA"/>
    <w:rsid w:val="0036105F"/>
    <w:rsid w:val="003761B0"/>
    <w:rsid w:val="00383607"/>
    <w:rsid w:val="003863B1"/>
    <w:rsid w:val="003900C3"/>
    <w:rsid w:val="00396320"/>
    <w:rsid w:val="003966F3"/>
    <w:rsid w:val="00397F84"/>
    <w:rsid w:val="003A508E"/>
    <w:rsid w:val="003A7F7F"/>
    <w:rsid w:val="003C45FA"/>
    <w:rsid w:val="003D0189"/>
    <w:rsid w:val="003D19A7"/>
    <w:rsid w:val="003E0926"/>
    <w:rsid w:val="003E3838"/>
    <w:rsid w:val="003E5414"/>
    <w:rsid w:val="003F7F37"/>
    <w:rsid w:val="00403506"/>
    <w:rsid w:val="00403BB2"/>
    <w:rsid w:val="00404079"/>
    <w:rsid w:val="004078BE"/>
    <w:rsid w:val="00412CA5"/>
    <w:rsid w:val="00416254"/>
    <w:rsid w:val="0041747A"/>
    <w:rsid w:val="00422BE7"/>
    <w:rsid w:val="00425BAD"/>
    <w:rsid w:val="004413E8"/>
    <w:rsid w:val="004416E5"/>
    <w:rsid w:val="0044260B"/>
    <w:rsid w:val="004650FC"/>
    <w:rsid w:val="00465F07"/>
    <w:rsid w:val="0047334D"/>
    <w:rsid w:val="00481B4C"/>
    <w:rsid w:val="00482A3A"/>
    <w:rsid w:val="004A1A43"/>
    <w:rsid w:val="004C18CC"/>
    <w:rsid w:val="004D3FB4"/>
    <w:rsid w:val="004F4A91"/>
    <w:rsid w:val="004F59D1"/>
    <w:rsid w:val="00505FAB"/>
    <w:rsid w:val="00506224"/>
    <w:rsid w:val="00512EB3"/>
    <w:rsid w:val="00514A25"/>
    <w:rsid w:val="00527B4B"/>
    <w:rsid w:val="00535694"/>
    <w:rsid w:val="00541343"/>
    <w:rsid w:val="005418C5"/>
    <w:rsid w:val="005451E9"/>
    <w:rsid w:val="005456DA"/>
    <w:rsid w:val="00545977"/>
    <w:rsid w:val="00546CFB"/>
    <w:rsid w:val="00562910"/>
    <w:rsid w:val="00563CF8"/>
    <w:rsid w:val="005713FA"/>
    <w:rsid w:val="00583AE5"/>
    <w:rsid w:val="00586AE8"/>
    <w:rsid w:val="00592E20"/>
    <w:rsid w:val="00596934"/>
    <w:rsid w:val="005A6DD7"/>
    <w:rsid w:val="005B1C30"/>
    <w:rsid w:val="005B1F98"/>
    <w:rsid w:val="005B5DEE"/>
    <w:rsid w:val="005D60E0"/>
    <w:rsid w:val="005F11D6"/>
    <w:rsid w:val="005F58FC"/>
    <w:rsid w:val="00603565"/>
    <w:rsid w:val="0061033C"/>
    <w:rsid w:val="0062092F"/>
    <w:rsid w:val="00627E77"/>
    <w:rsid w:val="00631401"/>
    <w:rsid w:val="006316DC"/>
    <w:rsid w:val="00637B16"/>
    <w:rsid w:val="00637D05"/>
    <w:rsid w:val="006429A2"/>
    <w:rsid w:val="00643555"/>
    <w:rsid w:val="006547AA"/>
    <w:rsid w:val="0066134D"/>
    <w:rsid w:val="00666FBD"/>
    <w:rsid w:val="00671322"/>
    <w:rsid w:val="00690494"/>
    <w:rsid w:val="0069278D"/>
    <w:rsid w:val="006A3045"/>
    <w:rsid w:val="006A70FE"/>
    <w:rsid w:val="006B2119"/>
    <w:rsid w:val="006D0887"/>
    <w:rsid w:val="006D3D69"/>
    <w:rsid w:val="006F538A"/>
    <w:rsid w:val="006F6445"/>
    <w:rsid w:val="0070232A"/>
    <w:rsid w:val="00702E98"/>
    <w:rsid w:val="00735ABA"/>
    <w:rsid w:val="00747B5E"/>
    <w:rsid w:val="00762E2F"/>
    <w:rsid w:val="007664F0"/>
    <w:rsid w:val="007727B1"/>
    <w:rsid w:val="00773438"/>
    <w:rsid w:val="007777BB"/>
    <w:rsid w:val="00784C16"/>
    <w:rsid w:val="007852FA"/>
    <w:rsid w:val="007976AB"/>
    <w:rsid w:val="007A3BC9"/>
    <w:rsid w:val="007A3C09"/>
    <w:rsid w:val="007A4B87"/>
    <w:rsid w:val="007B6B45"/>
    <w:rsid w:val="007C24C7"/>
    <w:rsid w:val="007C3149"/>
    <w:rsid w:val="007D3EBF"/>
    <w:rsid w:val="007D67C6"/>
    <w:rsid w:val="007D6CA5"/>
    <w:rsid w:val="007F15F8"/>
    <w:rsid w:val="007F19BE"/>
    <w:rsid w:val="008022EB"/>
    <w:rsid w:val="008066B7"/>
    <w:rsid w:val="00811B8B"/>
    <w:rsid w:val="00833A41"/>
    <w:rsid w:val="00836D84"/>
    <w:rsid w:val="00845404"/>
    <w:rsid w:val="008454F9"/>
    <w:rsid w:val="008465F7"/>
    <w:rsid w:val="00850F24"/>
    <w:rsid w:val="00852E73"/>
    <w:rsid w:val="0087176E"/>
    <w:rsid w:val="00874331"/>
    <w:rsid w:val="00897ABA"/>
    <w:rsid w:val="008A21FA"/>
    <w:rsid w:val="008A5258"/>
    <w:rsid w:val="008A56EF"/>
    <w:rsid w:val="008C0249"/>
    <w:rsid w:val="008C6E18"/>
    <w:rsid w:val="008D5B45"/>
    <w:rsid w:val="008D6140"/>
    <w:rsid w:val="008E2567"/>
    <w:rsid w:val="008F4A27"/>
    <w:rsid w:val="0090158F"/>
    <w:rsid w:val="00901F17"/>
    <w:rsid w:val="00903162"/>
    <w:rsid w:val="00904487"/>
    <w:rsid w:val="00913813"/>
    <w:rsid w:val="00913CB6"/>
    <w:rsid w:val="0092552F"/>
    <w:rsid w:val="00925EE5"/>
    <w:rsid w:val="0093104B"/>
    <w:rsid w:val="0093568A"/>
    <w:rsid w:val="0094128E"/>
    <w:rsid w:val="00947A19"/>
    <w:rsid w:val="00956744"/>
    <w:rsid w:val="00961EA0"/>
    <w:rsid w:val="00966D7E"/>
    <w:rsid w:val="00972197"/>
    <w:rsid w:val="00992527"/>
    <w:rsid w:val="00992BA4"/>
    <w:rsid w:val="009A3D46"/>
    <w:rsid w:val="009A6E22"/>
    <w:rsid w:val="009B2477"/>
    <w:rsid w:val="009F7F4B"/>
    <w:rsid w:val="00A018B4"/>
    <w:rsid w:val="00A02617"/>
    <w:rsid w:val="00A178FC"/>
    <w:rsid w:val="00A2561C"/>
    <w:rsid w:val="00A25757"/>
    <w:rsid w:val="00A472B6"/>
    <w:rsid w:val="00A50B2C"/>
    <w:rsid w:val="00A56616"/>
    <w:rsid w:val="00A577A2"/>
    <w:rsid w:val="00A64386"/>
    <w:rsid w:val="00A84C2A"/>
    <w:rsid w:val="00A9158D"/>
    <w:rsid w:val="00AA2204"/>
    <w:rsid w:val="00AB0E62"/>
    <w:rsid w:val="00AC42AB"/>
    <w:rsid w:val="00AC4454"/>
    <w:rsid w:val="00AC58C2"/>
    <w:rsid w:val="00AC6CD5"/>
    <w:rsid w:val="00AC71F1"/>
    <w:rsid w:val="00AF3B0A"/>
    <w:rsid w:val="00B050D8"/>
    <w:rsid w:val="00B11CCB"/>
    <w:rsid w:val="00B17E38"/>
    <w:rsid w:val="00B243FF"/>
    <w:rsid w:val="00B306E5"/>
    <w:rsid w:val="00B321D8"/>
    <w:rsid w:val="00B43C20"/>
    <w:rsid w:val="00B473AB"/>
    <w:rsid w:val="00B51AA6"/>
    <w:rsid w:val="00B56545"/>
    <w:rsid w:val="00B63187"/>
    <w:rsid w:val="00B7261E"/>
    <w:rsid w:val="00B76081"/>
    <w:rsid w:val="00B8713B"/>
    <w:rsid w:val="00B96B24"/>
    <w:rsid w:val="00B97088"/>
    <w:rsid w:val="00BB322D"/>
    <w:rsid w:val="00BC113A"/>
    <w:rsid w:val="00BC30D3"/>
    <w:rsid w:val="00BC5F34"/>
    <w:rsid w:val="00BE51D7"/>
    <w:rsid w:val="00BF0DD4"/>
    <w:rsid w:val="00BF7920"/>
    <w:rsid w:val="00C0043F"/>
    <w:rsid w:val="00C0056C"/>
    <w:rsid w:val="00C0692C"/>
    <w:rsid w:val="00C06F4F"/>
    <w:rsid w:val="00C1690F"/>
    <w:rsid w:val="00C17890"/>
    <w:rsid w:val="00C24257"/>
    <w:rsid w:val="00C25F24"/>
    <w:rsid w:val="00C33450"/>
    <w:rsid w:val="00C548AD"/>
    <w:rsid w:val="00C55B6D"/>
    <w:rsid w:val="00C65CF0"/>
    <w:rsid w:val="00C72CEB"/>
    <w:rsid w:val="00C842F5"/>
    <w:rsid w:val="00C8468A"/>
    <w:rsid w:val="00C9018B"/>
    <w:rsid w:val="00C94FE2"/>
    <w:rsid w:val="00CA0CE0"/>
    <w:rsid w:val="00CA1872"/>
    <w:rsid w:val="00CA5FD2"/>
    <w:rsid w:val="00CA62A2"/>
    <w:rsid w:val="00CB3F29"/>
    <w:rsid w:val="00CD49EA"/>
    <w:rsid w:val="00CD5430"/>
    <w:rsid w:val="00CE12FB"/>
    <w:rsid w:val="00D13879"/>
    <w:rsid w:val="00D142D4"/>
    <w:rsid w:val="00D2450F"/>
    <w:rsid w:val="00D35AEB"/>
    <w:rsid w:val="00D40545"/>
    <w:rsid w:val="00D50FBA"/>
    <w:rsid w:val="00D514F9"/>
    <w:rsid w:val="00D54AC3"/>
    <w:rsid w:val="00D610E3"/>
    <w:rsid w:val="00D61838"/>
    <w:rsid w:val="00D63FB1"/>
    <w:rsid w:val="00D672F7"/>
    <w:rsid w:val="00D75082"/>
    <w:rsid w:val="00D7706D"/>
    <w:rsid w:val="00D91865"/>
    <w:rsid w:val="00D965D3"/>
    <w:rsid w:val="00DA3624"/>
    <w:rsid w:val="00DA787B"/>
    <w:rsid w:val="00DC29A0"/>
    <w:rsid w:val="00DD7C1D"/>
    <w:rsid w:val="00DE44BF"/>
    <w:rsid w:val="00DE4D2D"/>
    <w:rsid w:val="00DE7218"/>
    <w:rsid w:val="00DF065E"/>
    <w:rsid w:val="00DF146E"/>
    <w:rsid w:val="00DF65FE"/>
    <w:rsid w:val="00E01651"/>
    <w:rsid w:val="00E02C57"/>
    <w:rsid w:val="00E2096F"/>
    <w:rsid w:val="00E22E73"/>
    <w:rsid w:val="00E30512"/>
    <w:rsid w:val="00E3753F"/>
    <w:rsid w:val="00E4331C"/>
    <w:rsid w:val="00E478CE"/>
    <w:rsid w:val="00E51B91"/>
    <w:rsid w:val="00E55093"/>
    <w:rsid w:val="00E61DD9"/>
    <w:rsid w:val="00E65B81"/>
    <w:rsid w:val="00E74393"/>
    <w:rsid w:val="00E7753C"/>
    <w:rsid w:val="00E8049F"/>
    <w:rsid w:val="00E841E1"/>
    <w:rsid w:val="00E90AA7"/>
    <w:rsid w:val="00E966D7"/>
    <w:rsid w:val="00E979D0"/>
    <w:rsid w:val="00EA2664"/>
    <w:rsid w:val="00EC6DA1"/>
    <w:rsid w:val="00ED57A0"/>
    <w:rsid w:val="00EF1A69"/>
    <w:rsid w:val="00EF225B"/>
    <w:rsid w:val="00EF660B"/>
    <w:rsid w:val="00F16A73"/>
    <w:rsid w:val="00F5146B"/>
    <w:rsid w:val="00F55ACA"/>
    <w:rsid w:val="00F60240"/>
    <w:rsid w:val="00F65912"/>
    <w:rsid w:val="00F65F2C"/>
    <w:rsid w:val="00F75149"/>
    <w:rsid w:val="00F80373"/>
    <w:rsid w:val="00F900A0"/>
    <w:rsid w:val="00F952D0"/>
    <w:rsid w:val="00FA4614"/>
    <w:rsid w:val="00FC0271"/>
    <w:rsid w:val="00FD2FA6"/>
    <w:rsid w:val="00FD4C39"/>
    <w:rsid w:val="00FD5CB3"/>
    <w:rsid w:val="00FE51DF"/>
    <w:rsid w:val="00FE668D"/>
    <w:rsid w:val="00FF0FE1"/>
    <w:rsid w:val="00FF3736"/>
    <w:rsid w:val="126C149A"/>
    <w:rsid w:val="13301290"/>
    <w:rsid w:val="1F594FF1"/>
    <w:rsid w:val="2E5D6659"/>
    <w:rsid w:val="2EA8429B"/>
    <w:rsid w:val="32B232EB"/>
    <w:rsid w:val="34B8552F"/>
    <w:rsid w:val="3F55759C"/>
    <w:rsid w:val="47DA2E5A"/>
    <w:rsid w:val="4E6903DA"/>
    <w:rsid w:val="4F4B0E46"/>
    <w:rsid w:val="500D4CC6"/>
    <w:rsid w:val="608E339B"/>
    <w:rsid w:val="6BC23FFE"/>
    <w:rsid w:val="6D400349"/>
    <w:rsid w:val="7BBD6566"/>
    <w:rsid w:val="7E2619C6"/>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15"/>
    <w:qFormat/>
    <w:locked/>
    <w:uiPriority w:val="99"/>
    <w:pPr>
      <w:keepNext/>
      <w:keepLines/>
      <w:outlineLvl w:val="3"/>
    </w:pPr>
    <w:rPr>
      <w:rFonts w:ascii="Arial" w:hAnsi="Arial" w:eastAsia="黑体"/>
      <w:kern w:val="0"/>
      <w:sz w:val="28"/>
      <w:szCs w:val="20"/>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6"/>
    <w:qFormat/>
    <w:uiPriority w:val="99"/>
    <w:pPr>
      <w:ind w:left="100" w:leftChars="2500"/>
    </w:pPr>
  </w:style>
  <w:style w:type="paragraph" w:styleId="4">
    <w:name w:val="Balloon Text"/>
    <w:basedOn w:val="1"/>
    <w:link w:val="17"/>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99"/>
    <w:rPr>
      <w:rFonts w:cs="Times New Roman"/>
      <w:b/>
      <w:bCs/>
    </w:rPr>
  </w:style>
  <w:style w:type="character" w:styleId="9">
    <w:name w:val="page number"/>
    <w:basedOn w:val="7"/>
    <w:qFormat/>
    <w:uiPriority w:val="99"/>
    <w:rPr>
      <w:rFonts w:cs="Times New Roman"/>
    </w:rPr>
  </w:style>
  <w:style w:type="character" w:styleId="10">
    <w:name w:val="Hyperlink"/>
    <w:basedOn w:val="7"/>
    <w:uiPriority w:val="99"/>
    <w:rPr>
      <w:rFonts w:cs="Times New Roman"/>
      <w:color w:val="0000FF"/>
      <w:u w:val="single"/>
    </w:rPr>
  </w:style>
  <w:style w:type="character" w:customStyle="1" w:styleId="12">
    <w:name w:val="Heading 4 Char"/>
    <w:basedOn w:val="7"/>
    <w:link w:val="2"/>
    <w:semiHidden/>
    <w:qFormat/>
    <w:locked/>
    <w:uiPriority w:val="99"/>
    <w:rPr>
      <w:rFonts w:ascii="Cambria" w:hAnsi="Cambria" w:eastAsia="宋体" w:cs="Times New Roman"/>
      <w:b/>
      <w:bCs/>
      <w:sz w:val="28"/>
      <w:szCs w:val="28"/>
    </w:rPr>
  </w:style>
  <w:style w:type="character" w:customStyle="1" w:styleId="13">
    <w:name w:val="页眉 Char"/>
    <w:basedOn w:val="7"/>
    <w:link w:val="6"/>
    <w:semiHidden/>
    <w:qFormat/>
    <w:locked/>
    <w:uiPriority w:val="99"/>
    <w:rPr>
      <w:rFonts w:cs="Times New Roman"/>
      <w:sz w:val="18"/>
      <w:szCs w:val="18"/>
    </w:rPr>
  </w:style>
  <w:style w:type="character" w:customStyle="1" w:styleId="14">
    <w:name w:val="页脚 Char"/>
    <w:basedOn w:val="7"/>
    <w:link w:val="5"/>
    <w:qFormat/>
    <w:locked/>
    <w:uiPriority w:val="99"/>
    <w:rPr>
      <w:rFonts w:cs="Times New Roman"/>
      <w:sz w:val="18"/>
      <w:szCs w:val="18"/>
    </w:rPr>
  </w:style>
  <w:style w:type="character" w:customStyle="1" w:styleId="15">
    <w:name w:val="标题 4 Char"/>
    <w:link w:val="2"/>
    <w:qFormat/>
    <w:locked/>
    <w:uiPriority w:val="99"/>
    <w:rPr>
      <w:rFonts w:ascii="Arial" w:hAnsi="Arial" w:eastAsia="黑体"/>
      <w:sz w:val="28"/>
      <w:lang w:val="en-US" w:eastAsia="zh-CN"/>
    </w:rPr>
  </w:style>
  <w:style w:type="character" w:customStyle="1" w:styleId="16">
    <w:name w:val="日期 Char"/>
    <w:basedOn w:val="7"/>
    <w:link w:val="3"/>
    <w:semiHidden/>
    <w:qFormat/>
    <w:locked/>
    <w:uiPriority w:val="99"/>
    <w:rPr>
      <w:rFonts w:cs="Times New Roman"/>
    </w:rPr>
  </w:style>
  <w:style w:type="character" w:customStyle="1" w:styleId="17">
    <w:name w:val="批注框文本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58E60-FB60-4A82-910C-7620605F476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768</Words>
  <Characters>4380</Characters>
  <Lines>36</Lines>
  <Paragraphs>10</Paragraphs>
  <ScaleCrop>false</ScaleCrop>
  <LinksUpToDate>false</LinksUpToDate>
  <CharactersWithSpaces>5138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2015-09-01T08:50:00Z</dcterms:created>
  <dc:creator>微软用户</dc:creator>
  <cp:lastModifiedBy>Administrator</cp:lastModifiedBy>
  <cp:lastPrinted>2016-05-06T06:51:00Z</cp:lastPrinted>
  <dcterms:modified xsi:type="dcterms:W3CDTF">2016-05-11T02:25:44Z</dcterms:modified>
  <dc:title>附件</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