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widowControl/>
        <w:shd w:val="clear" w:color="auto" w:fill="FFFFFF"/>
        <w:spacing w:before="0" w:beforeAutospacing="0" w:after="0" w:afterAutospacing="0" w:line="390" w:lineRule="atLeast"/>
        <w:ind w:firstLine="900" w:firstLineChars="250"/>
        <w:jc w:val="center"/>
        <w:rPr>
          <w:rFonts w:ascii="宋体" w:hAnsi="宋体" w:cs="宋体"/>
          <w:color w:val="000000"/>
          <w:sz w:val="36"/>
          <w:szCs w:val="36"/>
          <w:shd w:val="clear" w:color="auto" w:fill="FFFFFF"/>
        </w:rPr>
      </w:pPr>
      <w:r>
        <w:rPr>
          <w:rFonts w:hint="eastAsia" w:ascii="宋体" w:hAnsi="宋体" w:cs="宋体"/>
          <w:color w:val="000000"/>
          <w:sz w:val="36"/>
          <w:szCs w:val="36"/>
          <w:shd w:val="clear" w:color="auto" w:fill="FFFFFF"/>
        </w:rPr>
        <w:t>中南钻石有限公司</w:t>
      </w:r>
    </w:p>
    <w:p>
      <w:pPr>
        <w:pStyle w:val="4"/>
        <w:widowControl/>
        <w:shd w:val="clear" w:color="auto" w:fill="FFFFFF"/>
        <w:spacing w:before="0" w:beforeAutospacing="0" w:after="0" w:afterAutospacing="0" w:line="390" w:lineRule="atLeast"/>
        <w:ind w:firstLine="360" w:firstLineChars="100"/>
        <w:jc w:val="center"/>
        <w:rPr>
          <w:rFonts w:ascii="宋体" w:hAnsi="宋体" w:cs="宋体"/>
          <w:color w:val="000000"/>
          <w:sz w:val="36"/>
          <w:szCs w:val="36"/>
          <w:shd w:val="clear" w:color="auto" w:fill="FFFFFF"/>
        </w:rPr>
      </w:pPr>
      <w:r>
        <w:rPr>
          <w:rFonts w:hint="eastAsia" w:ascii="宋体" w:hAnsi="宋体" w:cs="宋体"/>
          <w:color w:val="000000"/>
          <w:sz w:val="36"/>
          <w:szCs w:val="36"/>
          <w:shd w:val="clear" w:color="auto" w:fill="FFFFFF"/>
        </w:rPr>
        <w:t>车间生活污水治理工程招标</w:t>
      </w:r>
    </w:p>
    <w:p>
      <w:pPr>
        <w:pStyle w:val="4"/>
        <w:widowControl/>
        <w:shd w:val="clear" w:color="auto" w:fill="FFFFFF"/>
        <w:spacing w:before="0" w:beforeAutospacing="0" w:after="0" w:afterAutospacing="0" w:line="390" w:lineRule="atLeast"/>
        <w:ind w:firstLine="525" w:firstLineChars="250"/>
        <w:rPr>
          <w:rFonts w:ascii="宋体" w:hAnsi="宋体" w:cs="宋体"/>
          <w:color w:val="000000"/>
          <w:sz w:val="21"/>
          <w:szCs w:val="21"/>
        </w:rPr>
      </w:pPr>
      <w:r>
        <w:rPr>
          <w:rFonts w:hint="eastAsia" w:ascii="宋体" w:hAnsi="宋体" w:cs="宋体"/>
          <w:color w:val="000000"/>
          <w:sz w:val="21"/>
          <w:szCs w:val="21"/>
          <w:shd w:val="clear" w:color="auto" w:fill="FFFFFF"/>
        </w:rPr>
        <w:t>我单位拟定进行中南钻石有限公司车间生活污水治理工程进行招标，为确保工程质量、安全，提高经济效益，本着公开、公正、公平竞争的原则，根据《中华人民共和国建筑法》、《中华人民共和国招标投标法》、中华人民共和国建设部令第89号、河南省实施《中华人民共和国招标投标法》办法等有关规定，该工程项目已具备内部工程施工招标条件，拟采用内部施工招标形式招标、内部议标、比质比价方式，遵照公开、公平、公正和，择优选定施工队伍。现将该项目的招标条件及投标要求说明如下：</w:t>
      </w:r>
    </w:p>
    <w:p>
      <w:pPr>
        <w:pStyle w:val="4"/>
        <w:widowControl/>
        <w:shd w:val="clear" w:color="auto" w:fill="FFFFFF"/>
        <w:spacing w:before="0" w:beforeAutospacing="0" w:after="0" w:afterAutospacing="0" w:line="390" w:lineRule="atLeast"/>
        <w:outlineLvl w:val="0"/>
        <w:rPr>
          <w:rFonts w:ascii="宋体" w:hAnsi="宋体" w:cs="宋体"/>
          <w:color w:val="000000"/>
          <w:sz w:val="21"/>
          <w:szCs w:val="21"/>
        </w:rPr>
      </w:pPr>
      <w:r>
        <w:rPr>
          <w:rFonts w:hint="eastAsia" w:ascii="宋体" w:hAnsi="宋体" w:cs="宋体"/>
          <w:color w:val="000000"/>
          <w:sz w:val="21"/>
          <w:szCs w:val="21"/>
          <w:shd w:val="clear" w:color="auto" w:fill="FFFFFF"/>
        </w:rPr>
        <w:t>　</w:t>
      </w:r>
      <w:r>
        <w:rPr>
          <w:rStyle w:val="6"/>
          <w:rFonts w:hint="eastAsia" w:ascii="宋体" w:hAnsi="宋体" w:cs="宋体"/>
          <w:color w:val="000000"/>
          <w:sz w:val="21"/>
          <w:szCs w:val="21"/>
          <w:shd w:val="clear" w:color="auto" w:fill="FFFFFF"/>
        </w:rPr>
        <w:t>　一、项目概况：</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1、项目名称：车间生活污水治理工程</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2、建设地点：河南省方城县中南钻石有限公司院内</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3、投资性质：单位自筹</w:t>
      </w:r>
    </w:p>
    <w:p>
      <w:pPr>
        <w:pStyle w:val="4"/>
        <w:widowControl/>
        <w:shd w:val="clear" w:color="auto" w:fill="FFFFFF"/>
        <w:spacing w:before="0" w:beforeAutospacing="0" w:after="0" w:afterAutospacing="0" w:line="390" w:lineRule="atLeast"/>
        <w:outlineLvl w:val="0"/>
        <w:rPr>
          <w:rFonts w:ascii="宋体" w:hAnsi="宋体" w:cs="宋体"/>
          <w:color w:val="000000"/>
          <w:sz w:val="21"/>
          <w:szCs w:val="21"/>
        </w:rPr>
      </w:pPr>
      <w:r>
        <w:rPr>
          <w:rStyle w:val="6"/>
          <w:rFonts w:hint="eastAsia" w:ascii="宋体" w:hAnsi="宋体" w:cs="宋体"/>
          <w:color w:val="000000"/>
          <w:sz w:val="21"/>
          <w:szCs w:val="21"/>
          <w:shd w:val="clear" w:color="auto" w:fill="FFFFFF"/>
        </w:rPr>
        <w:t>　　二、工程招标内容：</w:t>
      </w:r>
    </w:p>
    <w:p>
      <w:pPr>
        <w:pStyle w:val="4"/>
        <w:widowControl/>
        <w:shd w:val="clear" w:color="auto" w:fill="FFFFFF"/>
        <w:spacing w:before="0" w:beforeAutospacing="0" w:after="0" w:afterAutospacing="0" w:line="390" w:lineRule="atLeast"/>
        <w:ind w:firstLine="412" w:firstLineChars="196"/>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中南钻石有限公司车间生活污水治理工程</w:t>
      </w:r>
    </w:p>
    <w:p>
      <w:pPr>
        <w:pStyle w:val="4"/>
        <w:widowControl/>
        <w:shd w:val="clear" w:color="auto" w:fill="FFFFFF"/>
        <w:spacing w:before="0" w:beforeAutospacing="0" w:after="0" w:afterAutospacing="0" w:line="390" w:lineRule="atLeast"/>
        <w:ind w:firstLine="413" w:firstLineChars="196"/>
        <w:outlineLvl w:val="0"/>
        <w:rPr>
          <w:rStyle w:val="6"/>
          <w:b w:val="0"/>
        </w:rPr>
      </w:pPr>
      <w:r>
        <w:rPr>
          <w:rStyle w:val="6"/>
          <w:rFonts w:hint="eastAsia" w:ascii="宋体" w:hAnsi="宋体" w:cs="宋体"/>
          <w:color w:val="000000"/>
          <w:sz w:val="21"/>
          <w:szCs w:val="21"/>
          <w:shd w:val="clear" w:color="auto" w:fill="FFFFFF"/>
        </w:rPr>
        <w:t>三、招标要求：</w:t>
      </w:r>
    </w:p>
    <w:p>
      <w:pPr>
        <w:pStyle w:val="4"/>
        <w:widowControl/>
        <w:shd w:val="clear" w:color="auto" w:fill="FFFFFF"/>
        <w:spacing w:before="0" w:beforeAutospacing="0" w:after="0" w:afterAutospacing="0" w:line="390" w:lineRule="atLeast"/>
        <w:ind w:firstLine="412" w:firstLineChars="196"/>
        <w:rPr>
          <w:rFonts w:ascii="宋体" w:hAnsi="宋体" w:cs="宋体"/>
          <w:color w:val="000000"/>
          <w:sz w:val="21"/>
          <w:szCs w:val="21"/>
          <w:shd w:val="clear" w:color="auto" w:fill="FFFFFF"/>
        </w:rPr>
      </w:pPr>
      <w:r>
        <w:rPr>
          <w:rStyle w:val="6"/>
          <w:rFonts w:hint="eastAsia" w:ascii="宋体" w:hAnsi="宋体" w:cs="宋体"/>
          <w:b w:val="0"/>
          <w:color w:val="000000"/>
          <w:sz w:val="21"/>
          <w:szCs w:val="21"/>
          <w:shd w:val="clear" w:color="auto" w:fill="FFFFFF"/>
        </w:rPr>
        <w:t>1、本次招标为</w:t>
      </w:r>
      <w:r>
        <w:rPr>
          <w:rFonts w:hint="eastAsia" w:ascii="宋体" w:hAnsi="宋体" w:cs="宋体"/>
          <w:color w:val="000000"/>
          <w:sz w:val="21"/>
          <w:szCs w:val="21"/>
          <w:shd w:val="clear" w:color="auto" w:fill="FFFFFF"/>
        </w:rPr>
        <w:t>中南钻石有限公司车间生活污水治理工程，要求执行国家相关规范，达到合理、经济、耐用要求，保证运行费用在合理范围内。</w:t>
      </w:r>
    </w:p>
    <w:p>
      <w:pPr>
        <w:pStyle w:val="4"/>
        <w:widowControl/>
        <w:shd w:val="clear" w:color="auto" w:fill="FFFFFF"/>
        <w:spacing w:before="0" w:beforeAutospacing="0" w:after="0" w:afterAutospacing="0" w:line="390" w:lineRule="atLeast"/>
        <w:ind w:firstLine="420" w:firstLineChars="200"/>
        <w:rPr>
          <w:rStyle w:val="6"/>
          <w:rFonts w:ascii="宋体" w:hAnsi="宋体" w:cs="宋体"/>
          <w:b w:val="0"/>
          <w:color w:val="000000"/>
          <w:sz w:val="21"/>
          <w:szCs w:val="21"/>
          <w:shd w:val="clear" w:color="auto" w:fill="FFFFFF"/>
        </w:rPr>
      </w:pPr>
      <w:r>
        <w:rPr>
          <w:rStyle w:val="6"/>
          <w:rFonts w:hint="eastAsia" w:ascii="宋体" w:hAnsi="宋体" w:cs="宋体"/>
          <w:b w:val="0"/>
          <w:color w:val="000000"/>
          <w:sz w:val="21"/>
          <w:szCs w:val="21"/>
          <w:shd w:val="clear" w:color="auto" w:fill="FFFFFF"/>
        </w:rPr>
        <w:t>2、该工程相关材料要求：采用合格产品，符合国家相关规定。</w:t>
      </w:r>
    </w:p>
    <w:p>
      <w:pPr>
        <w:pStyle w:val="4"/>
        <w:widowControl/>
        <w:shd w:val="clear" w:color="auto" w:fill="FFFFFF"/>
        <w:spacing w:before="0" w:beforeAutospacing="0" w:after="0" w:afterAutospacing="0" w:line="390" w:lineRule="atLeast"/>
        <w:ind w:firstLine="420" w:firstLineChars="200"/>
        <w:rPr>
          <w:rStyle w:val="6"/>
          <w:rFonts w:ascii="宋体" w:hAnsi="宋体" w:cs="宋体"/>
          <w:b w:val="0"/>
          <w:color w:val="000000"/>
          <w:sz w:val="21"/>
          <w:szCs w:val="21"/>
          <w:shd w:val="clear" w:color="auto" w:fill="FFFFFF"/>
        </w:rPr>
      </w:pPr>
      <w:r>
        <w:rPr>
          <w:rStyle w:val="6"/>
          <w:rFonts w:hint="eastAsia" w:ascii="宋体" w:hAnsi="宋体" w:cs="宋体"/>
          <w:b w:val="0"/>
          <w:color w:val="000000"/>
          <w:sz w:val="21"/>
          <w:szCs w:val="21"/>
          <w:shd w:val="clear" w:color="auto" w:fill="FFFFFF"/>
        </w:rPr>
        <w:t>3、该工程需提供相关资质，不允许分包、转包；投标时带投标资质复印件（盖单位公章），装标书的档案袋密封，盖骑缝章。</w:t>
      </w:r>
    </w:p>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4、招标概况：本工程位于中南钻石有限公司厂区内。生活污水基本采用车间单独处理模式。</w:t>
      </w:r>
    </w:p>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5、招标要求：</w:t>
      </w:r>
    </w:p>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本次拟建设三座污水处理站，一座位于零部件2#工房车间外公厕处；一座位于桥东头单个厕所处；一座位于三岔口东南侧，3座公厕集中处理建设一座污水处理站。</w:t>
      </w:r>
    </w:p>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(1) 零部件2#工房车间外公厕处污水处理站相关要求：</w:t>
      </w:r>
    </w:p>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零部件2#工房外厕所和洗浴的生活污水通过管道进入玻璃钢化粪池。本次工程拟在玻璃钢化粪池排放口建设一座污水处理站，经污水处理站处理后，所排放水达到《城镇污水处理厂污染物排放标准》（GB18918-2002）一级A标准，符合国家相关环保要求。</w:t>
      </w:r>
    </w:p>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污水处理站的设计污水进水量为30m3/d。</w:t>
      </w:r>
    </w:p>
    <w:p>
      <w:pPr>
        <w:pStyle w:val="4"/>
        <w:widowControl/>
        <w:shd w:val="clear" w:color="auto" w:fill="FFFFFF"/>
        <w:spacing w:before="0" w:beforeAutospacing="0" w:after="0" w:afterAutospacing="0" w:line="390" w:lineRule="atLeast"/>
        <w:ind w:firstLine="420" w:firstLineChars="200"/>
        <w:jc w:val="center"/>
        <w:rPr>
          <w:rFonts w:ascii="宋体" w:hAnsi="宋体"/>
          <w:sz w:val="21"/>
          <w:szCs w:val="21"/>
        </w:rPr>
      </w:pPr>
      <w:r>
        <w:rPr>
          <w:rFonts w:hint="eastAsia" w:ascii="宋体" w:hAnsi="宋体"/>
          <w:sz w:val="21"/>
          <w:szCs w:val="21"/>
        </w:rPr>
        <w:t>污水处理设计进水指标</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项目</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COD(mg/L)</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BOD5(mg/L)</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SS(mg/L)</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NH3-N(mg/L)</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PH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指标</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350</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180</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200</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20</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6-9</w:t>
            </w:r>
          </w:p>
        </w:tc>
      </w:tr>
    </w:tbl>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废水排放执行《城镇污水处理厂污染物排放标准》（GB18918-2002）一级A标准，</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项目</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COD(mg/L)</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BOD5(mg/L)</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SS(mg/L)</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NH3-N(mg/L)</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PH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标准指标</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≤50</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≤10</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≤10</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≤5（8）</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6-9</w:t>
            </w:r>
          </w:p>
        </w:tc>
      </w:tr>
    </w:tbl>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(2) 桥东头单个厕所污水处理站和三岔口东南侧污水处理站相关要求：</w:t>
      </w:r>
    </w:p>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公厕为水冲式厕所，建设有化粪池。经污水处理站处理后，所排放水达到《城镇污水处理厂污染物排放标准》（GB18918-2002）一级B标准，符合国家相关环保要求。</w:t>
      </w:r>
    </w:p>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桥东头单个厕所污水处理站设计进水指标为15m3/d，三岔口东南侧处理污水处理站设计进水指标为30m3/d。</w:t>
      </w:r>
    </w:p>
    <w:p>
      <w:pPr>
        <w:pStyle w:val="4"/>
        <w:widowControl/>
        <w:shd w:val="clear" w:color="auto" w:fill="FFFFFF"/>
        <w:spacing w:before="0" w:beforeAutospacing="0" w:after="0" w:afterAutospacing="0" w:line="390" w:lineRule="atLeast"/>
        <w:ind w:firstLine="420" w:firstLineChars="200"/>
        <w:jc w:val="center"/>
        <w:rPr>
          <w:rFonts w:ascii="宋体" w:hAnsi="宋体"/>
          <w:sz w:val="21"/>
          <w:szCs w:val="21"/>
        </w:rPr>
      </w:pPr>
      <w:r>
        <w:rPr>
          <w:rFonts w:hint="eastAsia" w:ascii="宋体" w:hAnsi="宋体"/>
          <w:sz w:val="21"/>
          <w:szCs w:val="21"/>
        </w:rPr>
        <w:t>污水处理设计进水指标</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项目</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COD(mg/L)</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BOD5(mg/L)</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SS(mg/L)</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NH3-N(mg/L)</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PH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指标</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350</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180</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200</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20</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6-9</w:t>
            </w:r>
          </w:p>
        </w:tc>
      </w:tr>
    </w:tbl>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废水排放执行《城镇污水处理厂污染物排放标准》（GB18918-2002）一级B标准，</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项目</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COD(mg/L)</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BOD5(mg/L)</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SS(mg/L)</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NH3-N(mg/L)</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PH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标准指标</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≤60</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≤20</w:t>
            </w:r>
          </w:p>
        </w:tc>
        <w:tc>
          <w:tcPr>
            <w:tcW w:w="1420"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≤20</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≤8（15）</w:t>
            </w:r>
          </w:p>
        </w:tc>
        <w:tc>
          <w:tcPr>
            <w:tcW w:w="1421" w:type="dxa"/>
            <w:vAlign w:val="center"/>
          </w:tcPr>
          <w:p>
            <w:pPr>
              <w:pStyle w:val="4"/>
              <w:widowControl/>
              <w:spacing w:before="0" w:beforeAutospacing="0" w:after="0" w:afterAutospacing="0" w:line="390" w:lineRule="atLeast"/>
              <w:jc w:val="center"/>
              <w:rPr>
                <w:rFonts w:ascii="宋体" w:hAnsi="宋体"/>
                <w:sz w:val="21"/>
                <w:szCs w:val="21"/>
              </w:rPr>
            </w:pPr>
            <w:r>
              <w:rPr>
                <w:rFonts w:hint="eastAsia" w:ascii="宋体" w:hAnsi="宋体"/>
                <w:sz w:val="21"/>
                <w:szCs w:val="21"/>
              </w:rPr>
              <w:t>6-9</w:t>
            </w:r>
          </w:p>
        </w:tc>
      </w:tr>
    </w:tbl>
    <w:p>
      <w:pPr>
        <w:pStyle w:val="4"/>
        <w:widowControl/>
        <w:shd w:val="clear" w:color="auto" w:fill="FFFFFF"/>
        <w:spacing w:before="0" w:beforeAutospacing="0" w:after="0" w:afterAutospacing="0" w:line="390" w:lineRule="atLeast"/>
        <w:ind w:firstLine="420" w:firstLineChars="200"/>
        <w:rPr>
          <w:rStyle w:val="6"/>
          <w:rFonts w:ascii="宋体" w:hAnsi="宋体" w:cs="宋体"/>
          <w:b w:val="0"/>
          <w:color w:val="000000"/>
          <w:sz w:val="21"/>
          <w:szCs w:val="21"/>
          <w:shd w:val="clear" w:color="auto" w:fill="FFFFFF"/>
        </w:rPr>
      </w:pPr>
      <w:r>
        <w:rPr>
          <w:rStyle w:val="6"/>
          <w:rFonts w:hint="eastAsia" w:ascii="宋体" w:hAnsi="宋体" w:cs="宋体"/>
          <w:b w:val="0"/>
          <w:color w:val="000000"/>
          <w:sz w:val="21"/>
          <w:szCs w:val="21"/>
          <w:shd w:val="clear" w:color="auto" w:fill="FFFFFF"/>
        </w:rPr>
        <w:t>6、投标报价：各投标单位要综合考虑，结合现场地形和实际条件，报出准确价格，风险由各投标单位自行承担。</w:t>
      </w:r>
    </w:p>
    <w:p>
      <w:pPr>
        <w:pStyle w:val="4"/>
        <w:widowControl/>
        <w:shd w:val="clear" w:color="auto" w:fill="FFFFFF"/>
        <w:spacing w:before="0" w:beforeAutospacing="0" w:after="0" w:afterAutospacing="0" w:line="390" w:lineRule="atLeast"/>
        <w:ind w:firstLine="420" w:firstLineChars="200"/>
        <w:rPr>
          <w:rStyle w:val="6"/>
          <w:rFonts w:ascii="宋体" w:hAnsi="宋体" w:cs="宋体"/>
          <w:b w:val="0"/>
          <w:color w:val="000000"/>
          <w:sz w:val="21"/>
          <w:szCs w:val="21"/>
          <w:shd w:val="clear" w:color="auto" w:fill="FFFFFF"/>
        </w:rPr>
      </w:pPr>
      <w:r>
        <w:rPr>
          <w:rStyle w:val="6"/>
          <w:rFonts w:hint="eastAsia" w:ascii="宋体" w:hAnsi="宋体" w:cs="宋体"/>
          <w:b w:val="0"/>
          <w:color w:val="000000"/>
          <w:sz w:val="21"/>
          <w:szCs w:val="21"/>
          <w:shd w:val="clear" w:color="auto" w:fill="FFFFFF"/>
        </w:rPr>
        <w:t>7、投标书中需包含资质、设计方案、商务标（包含报价清单且3个污水处理站分开报价）和技术标、质保期和服务期</w:t>
      </w:r>
      <w:r>
        <w:rPr>
          <w:rStyle w:val="6"/>
          <w:rFonts w:hint="eastAsia" w:ascii="宋体" w:hAnsi="宋体" w:cs="宋体"/>
          <w:b w:val="0"/>
          <w:color w:val="000000"/>
          <w:sz w:val="21"/>
          <w:szCs w:val="21"/>
          <w:shd w:val="clear" w:color="auto" w:fill="FFFFFF"/>
          <w:lang w:eastAsia="zh-CN"/>
        </w:rPr>
        <w:t>及服务承诺书</w:t>
      </w:r>
      <w:r>
        <w:rPr>
          <w:rStyle w:val="6"/>
          <w:rFonts w:hint="eastAsia" w:ascii="宋体" w:hAnsi="宋体" w:cs="宋体"/>
          <w:b w:val="0"/>
          <w:color w:val="000000"/>
          <w:sz w:val="21"/>
          <w:szCs w:val="21"/>
          <w:shd w:val="clear" w:color="auto" w:fill="FFFFFF"/>
        </w:rPr>
        <w:t>。</w:t>
      </w:r>
    </w:p>
    <w:p>
      <w:pPr>
        <w:pStyle w:val="4"/>
        <w:widowControl/>
        <w:shd w:val="clear" w:color="auto" w:fill="FFFFFF"/>
        <w:spacing w:before="0" w:beforeAutospacing="0" w:after="0" w:afterAutospacing="0" w:line="390" w:lineRule="atLeast"/>
        <w:ind w:firstLine="420" w:firstLineChars="200"/>
        <w:rPr>
          <w:rFonts w:ascii="宋体" w:hAnsi="宋体"/>
          <w:sz w:val="21"/>
          <w:szCs w:val="21"/>
        </w:rPr>
      </w:pPr>
      <w:r>
        <w:rPr>
          <w:rFonts w:hint="eastAsia" w:ascii="宋体" w:hAnsi="宋体"/>
          <w:sz w:val="21"/>
          <w:szCs w:val="21"/>
        </w:rPr>
        <w:t>8、该报价含税。</w:t>
      </w:r>
    </w:p>
    <w:p>
      <w:pPr>
        <w:pStyle w:val="4"/>
        <w:widowControl/>
        <w:shd w:val="clear" w:color="auto" w:fill="FFFFFF"/>
        <w:spacing w:before="0" w:beforeAutospacing="0" w:after="0" w:afterAutospacing="0" w:line="390" w:lineRule="atLeast"/>
        <w:ind w:firstLine="420" w:firstLineChars="200"/>
        <w:rPr>
          <w:sz w:val="21"/>
          <w:szCs w:val="21"/>
        </w:rPr>
      </w:pPr>
      <w:r>
        <w:rPr>
          <w:rFonts w:hint="eastAsia" w:ascii="宋体" w:hAnsi="宋体"/>
          <w:sz w:val="21"/>
          <w:szCs w:val="21"/>
        </w:rPr>
        <w:t>9</w:t>
      </w:r>
      <w:r>
        <w:rPr>
          <w:rFonts w:hint="eastAsia"/>
          <w:sz w:val="21"/>
          <w:szCs w:val="21"/>
        </w:rPr>
        <w:t>、付款方式：银行承兑或银行电汇。</w:t>
      </w:r>
    </w:p>
    <w:p>
      <w:pPr>
        <w:pStyle w:val="4"/>
        <w:widowControl/>
        <w:shd w:val="clear" w:color="auto" w:fill="FFFFFF"/>
        <w:spacing w:before="0" w:beforeAutospacing="0" w:after="0" w:afterAutospacing="0" w:line="390" w:lineRule="atLeast"/>
        <w:outlineLvl w:val="0"/>
        <w:rPr>
          <w:rFonts w:ascii="宋体" w:hAnsi="宋体" w:cs="宋体"/>
          <w:color w:val="000000"/>
          <w:sz w:val="21"/>
          <w:szCs w:val="21"/>
        </w:rPr>
      </w:pPr>
      <w:r>
        <w:rPr>
          <w:rFonts w:hint="eastAsia" w:ascii="宋体" w:hAnsi="宋体" w:cs="宋体"/>
          <w:color w:val="000000"/>
          <w:sz w:val="21"/>
          <w:szCs w:val="21"/>
          <w:shd w:val="clear" w:color="auto" w:fill="FFFFFF"/>
        </w:rPr>
        <w:t>　</w:t>
      </w:r>
      <w:r>
        <w:rPr>
          <w:rStyle w:val="6"/>
          <w:rFonts w:hint="eastAsia" w:ascii="宋体" w:hAnsi="宋体" w:cs="宋体"/>
          <w:color w:val="000000"/>
          <w:sz w:val="21"/>
          <w:szCs w:val="21"/>
          <w:shd w:val="clear" w:color="auto" w:fill="FFFFFF"/>
        </w:rPr>
        <w:t>　四、承包方式：</w:t>
      </w:r>
      <w:r>
        <w:rPr>
          <w:rFonts w:hint="eastAsia" w:ascii="宋体" w:hAnsi="宋体" w:cs="宋体"/>
          <w:color w:val="000000"/>
          <w:sz w:val="21"/>
          <w:szCs w:val="21"/>
        </w:rPr>
        <w:t xml:space="preserve"> </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1、本工程根据《招标投标法》等有关规定，按中标价、投标工期、投标质量等级和本招标书的其它条款、以及《合同法》的有关规定由建设方与施工单位签订合同，采取包工、包料、包工期、包质量、包安全文明施工的承包方式。 </w:t>
      </w:r>
    </w:p>
    <w:p>
      <w:pPr>
        <w:pStyle w:val="4"/>
        <w:widowControl/>
        <w:shd w:val="clear" w:color="auto" w:fill="FFFFFF"/>
        <w:spacing w:before="0" w:beforeAutospacing="0" w:after="0" w:afterAutospacing="0" w:line="390" w:lineRule="atLeast"/>
        <w:ind w:firstLine="405"/>
        <w:outlineLvl w:val="0"/>
        <w:rPr>
          <w:rFonts w:ascii="宋体" w:hAnsi="宋体" w:cs="宋体"/>
          <w:color w:val="000000"/>
          <w:sz w:val="21"/>
          <w:szCs w:val="21"/>
        </w:rPr>
      </w:pPr>
      <w:r>
        <w:rPr>
          <w:rStyle w:val="6"/>
          <w:rFonts w:hint="eastAsia" w:ascii="宋体" w:hAnsi="宋体" w:cs="宋体"/>
          <w:color w:val="000000"/>
          <w:sz w:val="21"/>
          <w:szCs w:val="21"/>
          <w:shd w:val="clear" w:color="auto" w:fill="FFFFFF"/>
        </w:rPr>
        <w:t>五、建设工期：</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rPr>
      </w:pPr>
      <w:r>
        <w:rPr>
          <w:rFonts w:hint="eastAsia" w:ascii="宋体" w:hAnsi="宋体" w:cs="宋体"/>
          <w:color w:val="000000"/>
          <w:sz w:val="21"/>
          <w:szCs w:val="21"/>
          <w:shd w:val="clear" w:color="auto" w:fill="FFFFFF"/>
        </w:rPr>
        <w:t>本工程施工工期（日历天数）为90天。</w:t>
      </w:r>
    </w:p>
    <w:p>
      <w:pPr>
        <w:pStyle w:val="4"/>
        <w:widowControl/>
        <w:shd w:val="clear" w:color="auto" w:fill="FFFFFF"/>
        <w:spacing w:before="0" w:beforeAutospacing="0" w:after="0" w:afterAutospacing="0" w:line="390" w:lineRule="atLeast"/>
        <w:ind w:firstLine="420"/>
        <w:outlineLvl w:val="0"/>
        <w:rPr>
          <w:rStyle w:val="6"/>
          <w:shd w:val="clear" w:color="auto" w:fill="FFFFFF"/>
        </w:rPr>
      </w:pPr>
      <w:r>
        <w:rPr>
          <w:rStyle w:val="6"/>
          <w:rFonts w:hint="eastAsia" w:ascii="宋体" w:hAnsi="宋体" w:cs="宋体"/>
          <w:color w:val="000000"/>
          <w:sz w:val="21"/>
          <w:szCs w:val="21"/>
          <w:shd w:val="clear" w:color="auto" w:fill="FFFFFF"/>
        </w:rPr>
        <w:t>六、联系方式：</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技术联系人：中南钻石有限公司安全环保部</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电话：0377-67319280</w:t>
      </w:r>
    </w:p>
    <w:p>
      <w:pPr>
        <w:pStyle w:val="4"/>
        <w:widowControl/>
        <w:shd w:val="clear" w:color="auto" w:fill="FFFFFF"/>
        <w:spacing w:before="0" w:beforeAutospacing="0" w:after="0" w:afterAutospacing="0" w:line="390" w:lineRule="atLeast"/>
        <w:ind w:firstLine="420" w:firstLineChars="200"/>
      </w:pPr>
      <w:r>
        <w:rPr>
          <w:rFonts w:hint="eastAsia" w:ascii="宋体" w:hAnsi="宋体" w:cs="宋体"/>
          <w:color w:val="000000"/>
          <w:sz w:val="21"/>
          <w:szCs w:val="21"/>
          <w:shd w:val="clear" w:color="auto" w:fill="FFFFFF"/>
        </w:rPr>
        <w:t xml:space="preserve">招标人：中南钻石有限公司资产管理部  </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电话：0377-67319102</w:t>
      </w:r>
    </w:p>
    <w:p>
      <w:pPr>
        <w:pStyle w:val="4"/>
        <w:widowControl/>
        <w:shd w:val="clear" w:color="auto" w:fill="FFFFFF"/>
        <w:spacing w:before="0" w:beforeAutospacing="0" w:after="0" w:afterAutospacing="0" w:line="390" w:lineRule="atLeast"/>
        <w:ind w:firstLine="405"/>
        <w:rPr>
          <w:rStyle w:val="6"/>
          <w:b w:val="0"/>
        </w:rPr>
      </w:pPr>
      <w:bookmarkStart w:id="0" w:name="_GoBack"/>
      <w:bookmarkEnd w:id="0"/>
      <w:r>
        <w:rPr>
          <w:rFonts w:hint="eastAsia" w:ascii="宋体" w:hAnsi="宋体" w:cs="宋体"/>
          <w:color w:val="000000"/>
          <w:sz w:val="21"/>
          <w:szCs w:val="21"/>
          <w:shd w:val="clear" w:color="auto" w:fill="FFFFFF"/>
        </w:rPr>
        <w:t>地址：河南省方城县广阳镇</w:t>
      </w:r>
    </w:p>
    <w:p>
      <w:pPr>
        <w:pStyle w:val="4"/>
        <w:widowControl/>
        <w:shd w:val="clear" w:color="auto" w:fill="FFFFFF"/>
        <w:spacing w:before="0" w:beforeAutospacing="0" w:after="0" w:afterAutospacing="0" w:line="390" w:lineRule="atLeast"/>
        <w:ind w:firstLine="420"/>
      </w:pPr>
      <w:r>
        <w:rPr>
          <w:rStyle w:val="6"/>
          <w:rFonts w:hint="eastAsia" w:ascii="宋体" w:hAnsi="宋体" w:cs="宋体"/>
          <w:color w:val="000000"/>
          <w:sz w:val="21"/>
          <w:szCs w:val="21"/>
          <w:shd w:val="clear" w:color="auto" w:fill="FFFFFF"/>
        </w:rPr>
        <w:t>工程质量：</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按国家现行验收</w:t>
      </w:r>
      <w:r>
        <w:fldChar w:fldCharType="begin"/>
      </w:r>
      <w:r>
        <w:instrText xml:space="preserve"> HYPERLINK "http://www.jianshe99.com/web/zhuanyeziliao/biaozhunguifan/" \t "http://www.jianshe99.com/new/301_309_/_blank" \o "规范" </w:instrText>
      </w:r>
      <w:r>
        <w:fldChar w:fldCharType="separate"/>
      </w:r>
      <w:r>
        <w:rPr>
          <w:rStyle w:val="7"/>
          <w:rFonts w:hint="eastAsia" w:ascii="宋体" w:hAnsi="宋体" w:cs="宋体"/>
          <w:sz w:val="21"/>
          <w:szCs w:val="21"/>
          <w:shd w:val="clear" w:color="auto" w:fill="FFFFFF"/>
        </w:rPr>
        <w:t>规范</w:t>
      </w:r>
      <w:r>
        <w:rPr>
          <w:rStyle w:val="7"/>
          <w:rFonts w:hint="eastAsia" w:ascii="宋体" w:hAnsi="宋体" w:cs="宋体"/>
          <w:sz w:val="21"/>
          <w:szCs w:val="21"/>
          <w:shd w:val="clear" w:color="auto" w:fill="FFFFFF"/>
        </w:rPr>
        <w:fldChar w:fldCharType="end"/>
      </w:r>
      <w:r>
        <w:rPr>
          <w:rFonts w:hint="eastAsia" w:ascii="宋体" w:hAnsi="宋体" w:cs="宋体"/>
          <w:color w:val="000000"/>
          <w:sz w:val="21"/>
          <w:szCs w:val="21"/>
          <w:shd w:val="clear" w:color="auto" w:fill="FFFFFF"/>
        </w:rPr>
        <w:t>规程和质量标准施工，工程质量必须符合工程设计和现行规范要求。竣工时，质量等级必须达到合格标准。</w:t>
      </w:r>
    </w:p>
    <w:p>
      <w:pPr>
        <w:pStyle w:val="4"/>
        <w:widowControl/>
        <w:shd w:val="clear" w:color="auto" w:fill="FFFFFF"/>
        <w:spacing w:before="0" w:beforeAutospacing="0" w:after="0" w:afterAutospacing="0" w:line="390" w:lineRule="atLeast"/>
        <w:outlineLvl w:val="0"/>
        <w:rPr>
          <w:rFonts w:ascii="宋体" w:hAnsi="宋体" w:cs="宋体"/>
          <w:color w:val="000000"/>
          <w:sz w:val="21"/>
          <w:szCs w:val="21"/>
        </w:rPr>
      </w:pPr>
      <w:r>
        <w:rPr>
          <w:rFonts w:hint="eastAsia" w:ascii="宋体" w:hAnsi="宋体" w:cs="宋体"/>
          <w:color w:val="000000"/>
          <w:sz w:val="21"/>
          <w:szCs w:val="21"/>
          <w:shd w:val="clear" w:color="auto" w:fill="FFFFFF"/>
        </w:rPr>
        <w:t>　　</w:t>
      </w:r>
      <w:r>
        <w:rPr>
          <w:rStyle w:val="6"/>
          <w:rFonts w:hint="eastAsia" w:ascii="宋体" w:hAnsi="宋体" w:cs="宋体"/>
          <w:color w:val="000000"/>
          <w:sz w:val="21"/>
          <w:szCs w:val="21"/>
          <w:shd w:val="clear" w:color="auto" w:fill="FFFFFF"/>
        </w:rPr>
        <w:t>七、合同签订要求：</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1、中标人不得将工程转包；如发现有转包行为，建设单位有权终止合同并要求赔偿损失。</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w:t>
      </w:r>
      <w:r>
        <w:rPr>
          <w:rStyle w:val="6"/>
          <w:rFonts w:hint="eastAsia" w:ascii="宋体" w:hAnsi="宋体" w:cs="宋体"/>
          <w:b w:val="0"/>
          <w:color w:val="000000"/>
          <w:sz w:val="21"/>
          <w:szCs w:val="21"/>
          <w:shd w:val="clear" w:color="auto" w:fill="FFFFFF"/>
        </w:rPr>
        <w:t>、</w:t>
      </w:r>
      <w:r>
        <w:rPr>
          <w:rFonts w:hint="eastAsia" w:ascii="宋体" w:hAnsi="宋体" w:cs="宋体"/>
          <w:color w:val="000000"/>
          <w:sz w:val="21"/>
          <w:szCs w:val="21"/>
          <w:shd w:val="clear" w:color="auto" w:fill="FFFFFF"/>
        </w:rPr>
        <w:t>本工程要求按中标工期完工；每推迟一天交付使用，按中标价的万分之二予以处罚。</w:t>
      </w:r>
    </w:p>
    <w:p>
      <w:pPr>
        <w:pStyle w:val="4"/>
        <w:widowControl/>
        <w:shd w:val="clear" w:color="auto" w:fill="FFFFFF"/>
        <w:spacing w:before="0" w:beforeAutospacing="0" w:after="0" w:afterAutospacing="0" w:line="390" w:lineRule="atLeast"/>
        <w:ind w:firstLine="420"/>
        <w:outlineLvl w:val="0"/>
        <w:rPr>
          <w:rFonts w:ascii="宋体" w:hAnsi="宋体" w:cs="宋体"/>
          <w:color w:val="000000"/>
          <w:sz w:val="21"/>
          <w:szCs w:val="21"/>
          <w:shd w:val="clear" w:color="auto" w:fill="FFFFFF"/>
        </w:rPr>
      </w:pPr>
      <w:r>
        <w:rPr>
          <w:rStyle w:val="6"/>
          <w:rFonts w:hint="eastAsia" w:ascii="宋体" w:hAnsi="宋体" w:cs="宋体"/>
          <w:color w:val="000000"/>
          <w:sz w:val="21"/>
          <w:szCs w:val="21"/>
          <w:shd w:val="clear" w:color="auto" w:fill="FFFFFF"/>
        </w:rPr>
        <w:t>八、开标、评标、定标、招标答疑</w:t>
      </w:r>
      <w:r>
        <w:rPr>
          <w:rFonts w:hint="eastAsia" w:ascii="宋体" w:hAnsi="宋体" w:cs="宋体"/>
          <w:color w:val="000000"/>
          <w:sz w:val="21"/>
          <w:szCs w:val="21"/>
          <w:shd w:val="clear" w:color="auto" w:fill="FFFFFF"/>
        </w:rPr>
        <w:t>　</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1、本工程标书发放时间为2016年08月25日，投标截止时间为2016年9月15日上午12:00；投标人将上述密封的投标书，于2016年9月1</w:t>
      </w:r>
      <w:r>
        <w:rPr>
          <w:rFonts w:hint="eastAsia" w:ascii="宋体" w:hAnsi="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rPr>
        <w:t>日上午12：00时以前</w:t>
      </w:r>
      <w:r>
        <w:rPr>
          <w:rFonts w:hint="eastAsia" w:ascii="宋体" w:hAnsi="宋体" w:cs="宋体"/>
          <w:color w:val="000000"/>
          <w:sz w:val="21"/>
          <w:szCs w:val="21"/>
          <w:shd w:val="clear" w:color="auto" w:fill="FFFFFF"/>
          <w:lang w:eastAsia="zh-CN"/>
        </w:rPr>
        <w:t>快</w:t>
      </w:r>
      <w:r>
        <w:rPr>
          <w:rFonts w:hint="eastAsia" w:ascii="宋体" w:hAnsi="宋体" w:cs="宋体"/>
          <w:color w:val="000000"/>
          <w:sz w:val="21"/>
          <w:szCs w:val="21"/>
          <w:shd w:val="clear" w:color="auto" w:fill="FFFFFF"/>
        </w:rPr>
        <w:t>递至中南钻石有限公司资产管理部。</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rPr>
      </w:pPr>
      <w:r>
        <w:rPr>
          <w:rFonts w:hint="eastAsia" w:ascii="宋体" w:hAnsi="宋体" w:cs="宋体"/>
          <w:color w:val="000000"/>
          <w:sz w:val="21"/>
          <w:szCs w:val="21"/>
          <w:shd w:val="clear" w:color="auto" w:fill="FFFFFF"/>
        </w:rPr>
        <w:t>2、投标人需在有效时间内到中南钻石有限公司院内进行工程现场勘察和了解实际情况。由各投标人对招标书和施工内容等尚不明确的问题提出意见，而后由招标人进行答复。</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3、本工程定于2016年9月1</w:t>
      </w:r>
      <w:r>
        <w:rPr>
          <w:rFonts w:hint="eastAsia" w:ascii="宋体" w:hAnsi="宋体" w:cs="宋体"/>
          <w:color w:val="000000"/>
          <w:sz w:val="21"/>
          <w:szCs w:val="21"/>
          <w:shd w:val="clear" w:color="auto" w:fill="FFFFFF"/>
          <w:lang w:val="en-US" w:eastAsia="zh-CN"/>
        </w:rPr>
        <w:t>6</w:t>
      </w:r>
      <w:r>
        <w:rPr>
          <w:rFonts w:hint="eastAsia" w:ascii="宋体" w:hAnsi="宋体" w:cs="宋体"/>
          <w:color w:val="000000"/>
          <w:sz w:val="21"/>
          <w:szCs w:val="21"/>
          <w:shd w:val="clear" w:color="auto" w:fill="FFFFFF"/>
        </w:rPr>
        <w:t>日下午15：00时在中南钻石有限公司开标。</w:t>
      </w:r>
    </w:p>
    <w:p>
      <w:pPr>
        <w:pStyle w:val="4"/>
        <w:widowControl/>
        <w:shd w:val="clear" w:color="auto" w:fill="FFFFFF"/>
        <w:spacing w:before="0" w:beforeAutospacing="0" w:after="0" w:afterAutospacing="0" w:line="390" w:lineRule="atLeast"/>
        <w:outlineLvl w:val="0"/>
        <w:rPr>
          <w:rFonts w:ascii="宋体" w:hAnsi="宋体" w:cs="宋体"/>
          <w:color w:val="000000"/>
          <w:sz w:val="21"/>
          <w:szCs w:val="21"/>
        </w:rPr>
      </w:pPr>
      <w:r>
        <w:rPr>
          <w:rFonts w:hint="eastAsia" w:ascii="宋体" w:hAnsi="宋体" w:cs="宋体"/>
          <w:color w:val="000000"/>
          <w:sz w:val="21"/>
          <w:szCs w:val="21"/>
          <w:shd w:val="clear" w:color="auto" w:fill="FFFFFF"/>
        </w:rPr>
        <w:t>　</w:t>
      </w:r>
      <w:r>
        <w:rPr>
          <w:rStyle w:val="6"/>
          <w:rFonts w:hint="eastAsia" w:ascii="宋体" w:hAnsi="宋体" w:cs="宋体"/>
          <w:color w:val="000000"/>
          <w:sz w:val="21"/>
          <w:szCs w:val="21"/>
          <w:shd w:val="clear" w:color="auto" w:fill="FFFFFF"/>
        </w:rPr>
        <w:t>　九、有下列情况之一者，投标书或投标资格无效：</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1、投标书未按要求密封，标书内未加盖单位公章、无法人代表签字的；</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2、投标书未按要求编制打印的；</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3、投标书未按规定时间送达或快递至指定地点的；</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4、一个投标书出现两个报价的；</w:t>
      </w:r>
    </w:p>
    <w:p>
      <w:pPr>
        <w:pStyle w:val="4"/>
        <w:widowControl/>
        <w:shd w:val="clear" w:color="auto" w:fill="FFFFFF"/>
        <w:spacing w:before="0" w:beforeAutospacing="0" w:after="0" w:afterAutospacing="0" w:line="390" w:lineRule="atLeast"/>
        <w:outlineLvl w:val="0"/>
        <w:rPr>
          <w:rFonts w:ascii="宋体" w:hAnsi="宋体" w:cs="宋体"/>
          <w:color w:val="000000"/>
          <w:sz w:val="21"/>
          <w:szCs w:val="21"/>
        </w:rPr>
      </w:pPr>
      <w:r>
        <w:rPr>
          <w:rFonts w:hint="eastAsia" w:ascii="宋体" w:hAnsi="宋体" w:cs="宋体"/>
          <w:color w:val="000000"/>
          <w:sz w:val="21"/>
          <w:szCs w:val="21"/>
          <w:shd w:val="clear" w:color="auto" w:fill="FFFFFF"/>
        </w:rPr>
        <w:t>　</w:t>
      </w:r>
      <w:r>
        <w:rPr>
          <w:rStyle w:val="6"/>
          <w:rFonts w:hint="eastAsia" w:ascii="宋体" w:hAnsi="宋体" w:cs="宋体"/>
          <w:color w:val="000000"/>
          <w:sz w:val="21"/>
          <w:szCs w:val="21"/>
          <w:shd w:val="clear" w:color="auto" w:fill="FFFFFF"/>
        </w:rPr>
        <w:t>　十、其它事项</w:t>
      </w:r>
    </w:p>
    <w:p>
      <w:pPr>
        <w:pStyle w:val="4"/>
        <w:widowControl/>
        <w:shd w:val="clear" w:color="auto" w:fill="FFFFFF"/>
        <w:spacing w:before="0" w:beforeAutospacing="0" w:after="0" w:afterAutospacing="0" w:line="390" w:lineRule="atLeast"/>
        <w:rPr>
          <w:rFonts w:ascii="宋体" w:hAnsi="宋体" w:cs="宋体"/>
          <w:color w:val="000000"/>
          <w:sz w:val="21"/>
          <w:szCs w:val="21"/>
        </w:rPr>
      </w:pPr>
      <w:r>
        <w:rPr>
          <w:rFonts w:hint="eastAsia" w:ascii="宋体" w:hAnsi="宋体" w:cs="宋体"/>
          <w:color w:val="000000"/>
          <w:sz w:val="21"/>
          <w:szCs w:val="21"/>
          <w:shd w:val="clear" w:color="auto" w:fill="FFFFFF"/>
        </w:rPr>
        <w:t>　　1、　未中标单位，如对评标、定标结果要求复议的，须在开标后五个工作日内提出书面请求报招标人，逾期不予受理。</w:t>
      </w:r>
    </w:p>
    <w:p>
      <w:pPr>
        <w:pStyle w:val="4"/>
        <w:widowControl/>
        <w:shd w:val="clear" w:color="auto" w:fill="FFFFFF"/>
        <w:spacing w:before="0" w:beforeAutospacing="0" w:after="0" w:afterAutospacing="0" w:line="390" w:lineRule="atLeast"/>
        <w:ind w:firstLine="420" w:firstLineChars="200"/>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2、中标人在七天内，与建设方签订好施工合同，得到建设方施工许可后方可进场施工。</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rPr>
      </w:pPr>
      <w:r>
        <w:rPr>
          <w:rFonts w:hint="eastAsia" w:ascii="宋体" w:hAnsi="宋体" w:cs="宋体"/>
          <w:color w:val="000000"/>
          <w:sz w:val="21"/>
          <w:szCs w:val="21"/>
          <w:shd w:val="clear" w:color="auto" w:fill="FFFFFF"/>
        </w:rPr>
        <w:t>3、本次招标公告在</w:t>
      </w:r>
      <w:r>
        <w:rPr>
          <w:rFonts w:hint="eastAsia" w:ascii="宋体" w:hAnsi="宋体" w:cs="宋体"/>
          <w:color w:val="000000"/>
          <w:sz w:val="21"/>
          <w:szCs w:val="21"/>
          <w:u w:val="single"/>
          <w:shd w:val="clear" w:color="auto" w:fill="FFFFFF"/>
        </w:rPr>
        <w:t>中国采购与招标网</w:t>
      </w:r>
      <w:r>
        <w:rPr>
          <w:rFonts w:hint="eastAsia" w:ascii="宋体" w:hAnsi="宋体" w:cs="宋体"/>
          <w:color w:val="000000"/>
          <w:sz w:val="21"/>
          <w:szCs w:val="21"/>
          <w:shd w:val="clear" w:color="auto" w:fill="FFFFFF"/>
        </w:rPr>
        <w:t>上发布。</w:t>
      </w:r>
    </w:p>
    <w:p>
      <w:pPr>
        <w:pStyle w:val="4"/>
        <w:widowControl/>
        <w:shd w:val="clear" w:color="auto" w:fill="FFFFFF"/>
        <w:spacing w:before="0" w:beforeAutospacing="0" w:after="0" w:afterAutospacing="0" w:line="390" w:lineRule="atLeast"/>
        <w:ind w:firstLine="405"/>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4、本招标书未尽事宜，按照《中华人民共和国招标投标法》、中华人民共和国建设部令第89号、河南省和市政府以及市建设主管部门的有关规定执行。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Arial Rounded MT Bold"/>
    <w:panose1 w:val="020F0502020204030204"/>
    <w:charset w:val="00"/>
    <w:family w:val="decorative"/>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decorative"/>
    <w:pitch w:val="default"/>
    <w:sig w:usb0="00000003" w:usb1="00000000" w:usb2="00000000" w:usb3="00000000" w:csb0="20000001" w:csb1="00000000"/>
  </w:font>
  <w:font w:name="Shruti">
    <w:panose1 w:val="02000500000000000000"/>
    <w:charset w:val="00"/>
    <w:family w:val="auto"/>
    <w:pitch w:val="default"/>
    <w:sig w:usb0="0004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Arial Rounded MT Bold"/>
    <w:panose1 w:val="020F0502020204030204"/>
    <w:charset w:val="00"/>
    <w:family w:val="roman"/>
    <w:pitch w:val="default"/>
    <w:sig w:usb0="00000000" w:usb1="00000000" w:usb2="00000001" w:usb3="00000000" w:csb0="0000019F" w:csb1="00000000"/>
  </w:font>
  <w:font w:name="Arial Rounded MT Bold">
    <w:panose1 w:val="020F07040305040302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F10"/>
    <w:rsid w:val="000021AF"/>
    <w:rsid w:val="00022490"/>
    <w:rsid w:val="0007698E"/>
    <w:rsid w:val="00093127"/>
    <w:rsid w:val="000A130B"/>
    <w:rsid w:val="000A37FB"/>
    <w:rsid w:val="000B5A26"/>
    <w:rsid w:val="000B79F8"/>
    <w:rsid w:val="000C751B"/>
    <w:rsid w:val="000F278B"/>
    <w:rsid w:val="000F41C2"/>
    <w:rsid w:val="0010588A"/>
    <w:rsid w:val="00140219"/>
    <w:rsid w:val="0015682A"/>
    <w:rsid w:val="00186534"/>
    <w:rsid w:val="00193DC1"/>
    <w:rsid w:val="001A778F"/>
    <w:rsid w:val="001C561A"/>
    <w:rsid w:val="001D08D0"/>
    <w:rsid w:val="0022252E"/>
    <w:rsid w:val="002241EA"/>
    <w:rsid w:val="00236ABB"/>
    <w:rsid w:val="00246FF7"/>
    <w:rsid w:val="002571E1"/>
    <w:rsid w:val="0026467B"/>
    <w:rsid w:val="0028131D"/>
    <w:rsid w:val="00292231"/>
    <w:rsid w:val="002A39DF"/>
    <w:rsid w:val="002D00FB"/>
    <w:rsid w:val="002E0A57"/>
    <w:rsid w:val="002E4F58"/>
    <w:rsid w:val="00302DFA"/>
    <w:rsid w:val="00313B2A"/>
    <w:rsid w:val="00314111"/>
    <w:rsid w:val="003167BA"/>
    <w:rsid w:val="003237B9"/>
    <w:rsid w:val="00350327"/>
    <w:rsid w:val="003734C2"/>
    <w:rsid w:val="003920F8"/>
    <w:rsid w:val="003A708A"/>
    <w:rsid w:val="003C0CF1"/>
    <w:rsid w:val="003D4869"/>
    <w:rsid w:val="00406E41"/>
    <w:rsid w:val="0041663B"/>
    <w:rsid w:val="00440EDC"/>
    <w:rsid w:val="004445C2"/>
    <w:rsid w:val="00453D2C"/>
    <w:rsid w:val="004713AE"/>
    <w:rsid w:val="004E7A28"/>
    <w:rsid w:val="004F124E"/>
    <w:rsid w:val="0050118F"/>
    <w:rsid w:val="00516D8A"/>
    <w:rsid w:val="00567459"/>
    <w:rsid w:val="005748B3"/>
    <w:rsid w:val="00581D8B"/>
    <w:rsid w:val="00584005"/>
    <w:rsid w:val="005849D7"/>
    <w:rsid w:val="00592EB7"/>
    <w:rsid w:val="005C5F28"/>
    <w:rsid w:val="005C6552"/>
    <w:rsid w:val="005C7378"/>
    <w:rsid w:val="005D0431"/>
    <w:rsid w:val="005D2882"/>
    <w:rsid w:val="005E5669"/>
    <w:rsid w:val="005F5081"/>
    <w:rsid w:val="00607F6D"/>
    <w:rsid w:val="006158A0"/>
    <w:rsid w:val="0062362C"/>
    <w:rsid w:val="00643DC9"/>
    <w:rsid w:val="006471E4"/>
    <w:rsid w:val="0065282A"/>
    <w:rsid w:val="006733B9"/>
    <w:rsid w:val="00675988"/>
    <w:rsid w:val="006A5DE4"/>
    <w:rsid w:val="006A7C1F"/>
    <w:rsid w:val="006B0B37"/>
    <w:rsid w:val="006C6498"/>
    <w:rsid w:val="006D0789"/>
    <w:rsid w:val="006D6AF8"/>
    <w:rsid w:val="006F181F"/>
    <w:rsid w:val="00732D55"/>
    <w:rsid w:val="00740CF8"/>
    <w:rsid w:val="00743ED5"/>
    <w:rsid w:val="007606EE"/>
    <w:rsid w:val="007B47EC"/>
    <w:rsid w:val="007E30A1"/>
    <w:rsid w:val="008005D9"/>
    <w:rsid w:val="008275CE"/>
    <w:rsid w:val="008822E3"/>
    <w:rsid w:val="008850CC"/>
    <w:rsid w:val="00886959"/>
    <w:rsid w:val="008D0060"/>
    <w:rsid w:val="008F203D"/>
    <w:rsid w:val="008F3AC0"/>
    <w:rsid w:val="00921E35"/>
    <w:rsid w:val="00926A5E"/>
    <w:rsid w:val="00946307"/>
    <w:rsid w:val="009608D3"/>
    <w:rsid w:val="00973A2D"/>
    <w:rsid w:val="009851AA"/>
    <w:rsid w:val="009A5FB9"/>
    <w:rsid w:val="009D04CC"/>
    <w:rsid w:val="009D6DA4"/>
    <w:rsid w:val="009E6F10"/>
    <w:rsid w:val="009E7C8E"/>
    <w:rsid w:val="00A0171C"/>
    <w:rsid w:val="00A2644D"/>
    <w:rsid w:val="00A43615"/>
    <w:rsid w:val="00A60298"/>
    <w:rsid w:val="00A72050"/>
    <w:rsid w:val="00A915E4"/>
    <w:rsid w:val="00AC7C0E"/>
    <w:rsid w:val="00AD124B"/>
    <w:rsid w:val="00AD29F8"/>
    <w:rsid w:val="00AE5890"/>
    <w:rsid w:val="00AF38C4"/>
    <w:rsid w:val="00B07139"/>
    <w:rsid w:val="00B223CE"/>
    <w:rsid w:val="00B34074"/>
    <w:rsid w:val="00B519D4"/>
    <w:rsid w:val="00B553C7"/>
    <w:rsid w:val="00B7053F"/>
    <w:rsid w:val="00BC4570"/>
    <w:rsid w:val="00BD24F8"/>
    <w:rsid w:val="00C00E01"/>
    <w:rsid w:val="00C124EE"/>
    <w:rsid w:val="00C57E91"/>
    <w:rsid w:val="00C6185E"/>
    <w:rsid w:val="00C82E23"/>
    <w:rsid w:val="00C87326"/>
    <w:rsid w:val="00CB31BA"/>
    <w:rsid w:val="00CF60F0"/>
    <w:rsid w:val="00D06EB0"/>
    <w:rsid w:val="00D16AE9"/>
    <w:rsid w:val="00D268E9"/>
    <w:rsid w:val="00D311DB"/>
    <w:rsid w:val="00D36F6C"/>
    <w:rsid w:val="00D45673"/>
    <w:rsid w:val="00D623E6"/>
    <w:rsid w:val="00D82104"/>
    <w:rsid w:val="00DB5810"/>
    <w:rsid w:val="00DB6E83"/>
    <w:rsid w:val="00DC25B1"/>
    <w:rsid w:val="00DF04F5"/>
    <w:rsid w:val="00DF3036"/>
    <w:rsid w:val="00E101B8"/>
    <w:rsid w:val="00E102EA"/>
    <w:rsid w:val="00E5084D"/>
    <w:rsid w:val="00E6708C"/>
    <w:rsid w:val="00EB2151"/>
    <w:rsid w:val="00EB2FFF"/>
    <w:rsid w:val="00EC0133"/>
    <w:rsid w:val="00EE45EB"/>
    <w:rsid w:val="00F31CAF"/>
    <w:rsid w:val="00F32167"/>
    <w:rsid w:val="00F41942"/>
    <w:rsid w:val="00F656E7"/>
    <w:rsid w:val="00F67A75"/>
    <w:rsid w:val="00FA25E3"/>
    <w:rsid w:val="00FB1DAD"/>
    <w:rsid w:val="00FC704B"/>
    <w:rsid w:val="00FF26D3"/>
    <w:rsid w:val="00FF4D64"/>
    <w:rsid w:val="1E4361B4"/>
    <w:rsid w:val="407E6C1E"/>
    <w:rsid w:val="445676AA"/>
    <w:rsid w:val="4B1E4B4A"/>
    <w:rsid w:val="64A5552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spacing w:before="100" w:beforeAutospacing="1" w:after="100" w:afterAutospacing="1"/>
      <w:jc w:val="left"/>
    </w:pPr>
    <w:rPr>
      <w:rFonts w:ascii="Calibri" w:hAnsi="Calibri" w:eastAsia="宋体" w:cs="Times New Roman"/>
      <w:kern w:val="0"/>
      <w:sz w:val="24"/>
      <w:szCs w:val="24"/>
    </w:rPr>
  </w:style>
  <w:style w:type="character" w:styleId="6">
    <w:name w:val="Strong"/>
    <w:basedOn w:val="5"/>
    <w:qFormat/>
    <w:uiPriority w:val="0"/>
    <w:rPr>
      <w:b/>
    </w:rPr>
  </w:style>
  <w:style w:type="character" w:styleId="7">
    <w:name w:val="Hyperlink"/>
    <w:basedOn w:val="5"/>
    <w:unhideWhenUsed/>
    <w:uiPriority w:val="0"/>
    <w:rPr>
      <w:color w:val="0000FF"/>
      <w:u w:val="single"/>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5"/>
    <w:link w:val="3"/>
    <w:semiHidden/>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386</Words>
  <Characters>2206</Characters>
  <Lines>18</Lines>
  <Paragraphs>5</Paragraphs>
  <TotalTime>0</TotalTime>
  <ScaleCrop>false</ScaleCrop>
  <LinksUpToDate>false</LinksUpToDate>
  <CharactersWithSpaces>2587</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2016-07-06T02:09:00Z</dcterms:created>
  <dc:creator>user</dc:creator>
  <cp:lastModifiedBy>Administrator</cp:lastModifiedBy>
  <dcterms:modified xsi:type="dcterms:W3CDTF">2016-08-25T01:23:14Z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