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2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百色市迎龙片区给水管网工程施工更改公告（二）</w:t>
      </w:r>
    </w:p>
    <w:p>
      <w:pPr>
        <w:spacing w:line="420" w:lineRule="exact"/>
        <w:ind w:left="420" w:leftChars="200"/>
        <w:rPr>
          <w:szCs w:val="21"/>
        </w:rPr>
      </w:pPr>
      <w:r>
        <w:rPr>
          <w:rFonts w:hint="eastAsia"/>
          <w:szCs w:val="21"/>
        </w:rPr>
        <w:t>现将百色市迎龙片区给水管网工程施工更改公布如下：</w:t>
      </w:r>
    </w:p>
    <w:p>
      <w:pPr>
        <w:spacing w:line="420" w:lineRule="exact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一、项目名称及编号：</w:t>
      </w:r>
    </w:p>
    <w:p>
      <w:pPr>
        <w:spacing w:line="42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项目名称：百色市迎龙片区给水管网工程</w:t>
      </w:r>
    </w:p>
    <w:p>
      <w:pPr>
        <w:spacing w:line="42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项目编号：</w:t>
      </w:r>
      <w:r>
        <w:rPr>
          <w:szCs w:val="21"/>
        </w:rPr>
        <w:t>GXBSZC2016-G2-003-HY</w:t>
      </w:r>
    </w:p>
    <w:p>
      <w:pPr>
        <w:spacing w:line="420" w:lineRule="exact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二、更改事项</w:t>
      </w:r>
    </w:p>
    <w:p>
      <w:pPr>
        <w:spacing w:line="420" w:lineRule="exact"/>
        <w:ind w:firstLine="422" w:firstLineChars="200"/>
        <w:rPr>
          <w:szCs w:val="21"/>
        </w:rPr>
      </w:pPr>
      <w:r>
        <w:rPr>
          <w:b/>
          <w:color w:val="000000"/>
          <w:szCs w:val="21"/>
        </w:rPr>
        <w:t>1</w:t>
      </w:r>
      <w:r>
        <w:rPr>
          <w:color w:val="000000"/>
          <w:szCs w:val="21"/>
        </w:rPr>
        <w:t>.</w:t>
      </w:r>
      <w:r>
        <w:rPr>
          <w:rFonts w:hint="eastAsia"/>
          <w:color w:val="000000"/>
          <w:szCs w:val="21"/>
        </w:rPr>
        <w:t>原更改公告的</w:t>
      </w:r>
      <w:r>
        <w:rPr>
          <w:rFonts w:hint="eastAsia"/>
          <w:color w:val="000000"/>
          <w:szCs w:val="21"/>
          <w:shd w:val="clear" w:color="auto" w:fill="FFFFFF"/>
        </w:rPr>
        <w:t>递交投标文件的截止时间（投标截止时间）及开标时间</w:t>
      </w:r>
      <w:r>
        <w:rPr>
          <w:rFonts w:hint="eastAsia"/>
          <w:szCs w:val="21"/>
        </w:rPr>
        <w:t>为：</w:t>
      </w:r>
      <w:r>
        <w:rPr>
          <w:szCs w:val="21"/>
        </w:rPr>
        <w:t>2016</w:t>
      </w:r>
      <w:r>
        <w:rPr>
          <w:rFonts w:hint="eastAsia"/>
          <w:szCs w:val="21"/>
        </w:rPr>
        <w:t>年5月4日上午09时</w:t>
      </w:r>
      <w:r>
        <w:rPr>
          <w:szCs w:val="21"/>
        </w:rPr>
        <w:t>00</w:t>
      </w:r>
      <w:r>
        <w:rPr>
          <w:rFonts w:hint="eastAsia"/>
          <w:szCs w:val="21"/>
        </w:rPr>
        <w:t>分”</w:t>
      </w:r>
      <w:r>
        <w:rPr>
          <w:rFonts w:hint="eastAsia"/>
          <w:color w:val="000000"/>
          <w:szCs w:val="21"/>
          <w:shd w:val="clear" w:color="auto" w:fill="FFFFFF"/>
        </w:rPr>
        <w:t>，</w:t>
      </w:r>
      <w:r>
        <w:rPr>
          <w:rFonts w:hint="eastAsia"/>
          <w:b/>
          <w:szCs w:val="21"/>
        </w:rPr>
        <w:t>现更改为：“递交投标文件的截止时间（投标截止时间）及开标时间为：</w:t>
      </w:r>
      <w:r>
        <w:rPr>
          <w:b/>
          <w:szCs w:val="21"/>
        </w:rPr>
        <w:t>2016</w:t>
      </w:r>
      <w:r>
        <w:rPr>
          <w:rFonts w:hint="eastAsia"/>
          <w:b/>
          <w:szCs w:val="21"/>
        </w:rPr>
        <w:t>年5月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5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日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上午09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时3</w:t>
      </w:r>
      <w:r>
        <w:rPr>
          <w:b/>
          <w:szCs w:val="21"/>
        </w:rPr>
        <w:t>0</w:t>
      </w:r>
      <w:r>
        <w:rPr>
          <w:rFonts w:hint="eastAsia"/>
          <w:b/>
          <w:szCs w:val="21"/>
        </w:rPr>
        <w:t>分”。</w:t>
      </w:r>
      <w:bookmarkStart w:id="0" w:name="_GoBack"/>
      <w:bookmarkEnd w:id="0"/>
    </w:p>
    <w:p>
      <w:pPr>
        <w:spacing w:line="420" w:lineRule="exact"/>
        <w:ind w:right="-693" w:rightChars="-330" w:firstLine="422" w:firstLineChars="200"/>
        <w:rPr>
          <w:rFonts w:cs="Tahoma"/>
          <w:b/>
          <w:color w:val="000000"/>
          <w:szCs w:val="21"/>
          <w:shd w:val="clear" w:color="auto" w:fill="FFFFFF"/>
        </w:rPr>
      </w:pPr>
      <w:r>
        <w:rPr>
          <w:rFonts w:hint="eastAsia" w:cs="Tahoma"/>
          <w:b/>
          <w:color w:val="000000"/>
          <w:szCs w:val="21"/>
          <w:shd w:val="clear" w:color="auto" w:fill="FFFFFF"/>
        </w:rPr>
        <w:t>2.</w:t>
      </w:r>
      <w:r>
        <w:rPr>
          <w:rFonts w:hint="eastAsia" w:cs="Tahoma"/>
          <w:color w:val="000000"/>
          <w:szCs w:val="21"/>
          <w:shd w:val="clear" w:color="auto" w:fill="FFFFFF"/>
        </w:rPr>
        <w:t>原更改公告的第5点“5、招标文件·第三章·评标办法（综合评估法）·评标办法前附表“</w:t>
      </w:r>
      <w:r>
        <w:rPr>
          <w:rFonts w:cs="Tahoma"/>
          <w:color w:val="000000"/>
          <w:sz w:val="24"/>
          <w:shd w:val="clear" w:color="auto" w:fill="FFFFFF"/>
        </w:rPr>
        <w:t>2.2.1</w:t>
      </w:r>
      <w:r>
        <w:rPr>
          <w:rFonts w:hint="eastAsia" w:cs="Tahoma"/>
          <w:color w:val="000000"/>
          <w:sz w:val="24"/>
          <w:shd w:val="clear" w:color="auto" w:fill="FFFFFF"/>
        </w:rPr>
        <w:t>（</w:t>
      </w:r>
      <w:r>
        <w:rPr>
          <w:rFonts w:cs="Tahoma"/>
          <w:color w:val="000000"/>
          <w:sz w:val="24"/>
          <w:shd w:val="clear" w:color="auto" w:fill="FFFFFF"/>
        </w:rPr>
        <w:t>1</w:t>
      </w:r>
      <w:r>
        <w:rPr>
          <w:rFonts w:hint="eastAsia" w:cs="Tahoma"/>
          <w:color w:val="000000"/>
          <w:sz w:val="24"/>
          <w:shd w:val="clear" w:color="auto" w:fill="FFFFFF"/>
        </w:rPr>
        <w:t>）、</w:t>
      </w:r>
      <w:r>
        <w:rPr>
          <w:rFonts w:cs="Tahoma"/>
          <w:color w:val="000000"/>
          <w:sz w:val="24"/>
          <w:shd w:val="clear" w:color="auto" w:fill="FFFFFF"/>
        </w:rPr>
        <w:t>2.2.3</w:t>
      </w:r>
      <w:r>
        <w:rPr>
          <w:rFonts w:hint="eastAsia" w:cs="Tahoma"/>
          <w:color w:val="000000"/>
          <w:sz w:val="24"/>
          <w:shd w:val="clear" w:color="auto" w:fill="FFFFFF"/>
        </w:rPr>
        <w:t>、</w:t>
      </w:r>
      <w:r>
        <w:rPr>
          <w:rFonts w:cs="Tahoma"/>
          <w:color w:val="000000"/>
          <w:sz w:val="24"/>
          <w:shd w:val="clear" w:color="auto" w:fill="FFFFFF"/>
        </w:rPr>
        <w:t>.2.2</w:t>
      </w:r>
      <w:r>
        <w:rPr>
          <w:rFonts w:hint="eastAsia" w:cs="Tahoma"/>
          <w:color w:val="000000"/>
          <w:sz w:val="24"/>
          <w:shd w:val="clear" w:color="auto" w:fill="FFFFFF"/>
        </w:rPr>
        <w:t>（</w:t>
      </w:r>
      <w:r>
        <w:rPr>
          <w:rFonts w:cs="Tahoma"/>
          <w:color w:val="000000"/>
          <w:sz w:val="24"/>
          <w:shd w:val="clear" w:color="auto" w:fill="FFFFFF"/>
        </w:rPr>
        <w:t>2</w:t>
      </w:r>
      <w:r>
        <w:rPr>
          <w:rFonts w:hint="eastAsia" w:cs="Tahoma"/>
          <w:color w:val="000000"/>
          <w:sz w:val="24"/>
          <w:shd w:val="clear" w:color="auto" w:fill="FFFFFF"/>
        </w:rPr>
        <w:t>）</w:t>
      </w:r>
      <w:r>
        <w:rPr>
          <w:rFonts w:hint="eastAsia" w:cs="Tahoma"/>
          <w:color w:val="000000"/>
          <w:szCs w:val="21"/>
          <w:shd w:val="clear" w:color="auto" w:fill="FFFFFF"/>
        </w:rPr>
        <w:t>”内容</w:t>
      </w:r>
      <w:r>
        <w:rPr>
          <w:rFonts w:hint="eastAsia" w:cs="Tahoma"/>
          <w:b/>
          <w:color w:val="000000"/>
          <w:szCs w:val="21"/>
          <w:shd w:val="clear" w:color="auto" w:fill="FFFFFF"/>
        </w:rPr>
        <w:t>，现更改为：</w:t>
      </w:r>
    </w:p>
    <w:tbl>
      <w:tblPr>
        <w:tblStyle w:val="6"/>
        <w:tblW w:w="102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565"/>
        <w:gridCol w:w="728"/>
        <w:gridCol w:w="1737"/>
        <w:gridCol w:w="5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932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2.2.1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技术标</w:t>
            </w:r>
          </w:p>
          <w:p>
            <w:pPr>
              <w:spacing w:line="4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评分标准</w:t>
            </w:r>
          </w:p>
          <w:p>
            <w:pPr>
              <w:spacing w:line="4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（满分</w:t>
            </w: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7774" w:type="dxa"/>
            <w:gridSpan w:val="3"/>
            <w:vAlign w:val="center"/>
          </w:tcPr>
          <w:p>
            <w:pPr>
              <w:spacing w:line="4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合格标准：</w:t>
            </w:r>
          </w:p>
          <w:p>
            <w:pPr>
              <w:spacing w:line="4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技术标满分为</w:t>
            </w: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分时，技术标得分达到或超过</w:t>
            </w:r>
            <w:r>
              <w:rPr>
                <w:b/>
                <w:szCs w:val="21"/>
              </w:rPr>
              <w:t>12</w:t>
            </w:r>
            <w:r>
              <w:rPr>
                <w:rFonts w:hint="eastAsia"/>
                <w:b/>
                <w:szCs w:val="21"/>
              </w:rPr>
              <w:t>分的，技术标评审为合格；低于</w:t>
            </w:r>
            <w:r>
              <w:rPr>
                <w:b/>
                <w:szCs w:val="21"/>
              </w:rPr>
              <w:t>12</w:t>
            </w:r>
            <w:r>
              <w:rPr>
                <w:rFonts w:hint="eastAsia"/>
                <w:b/>
                <w:szCs w:val="21"/>
              </w:rPr>
              <w:t>分的技术标得分，技术标评审不合格。以下技术标权值为</w:t>
            </w:r>
            <w:r>
              <w:rPr>
                <w:b/>
                <w:szCs w:val="21"/>
              </w:rPr>
              <w:t>20%.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spacing w:line="4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项目管理机构（</w:t>
            </w: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1737" w:type="dxa"/>
            <w:vAlign w:val="center"/>
          </w:tcPr>
          <w:p>
            <w:pPr>
              <w:spacing w:line="420" w:lineRule="exac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项目经理任职资格（</w:t>
            </w:r>
            <w:r>
              <w:rPr>
                <w:b/>
                <w:kern w:val="0"/>
                <w:szCs w:val="21"/>
              </w:rPr>
              <w:t>10</w:t>
            </w:r>
            <w:r>
              <w:rPr>
                <w:rFonts w:hint="eastAsia"/>
                <w:b/>
                <w:kern w:val="0"/>
                <w:szCs w:val="21"/>
              </w:rPr>
              <w:t>分）</w:t>
            </w:r>
          </w:p>
        </w:tc>
        <w:tc>
          <w:tcPr>
            <w:tcW w:w="5309" w:type="dxa"/>
            <w:vAlign w:val="center"/>
          </w:tcPr>
          <w:p>
            <w:pPr>
              <w:widowControl/>
              <w:spacing w:line="420" w:lineRule="exac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1</w:t>
            </w:r>
            <w:r>
              <w:rPr>
                <w:rFonts w:hint="eastAsia"/>
                <w:b/>
                <w:kern w:val="0"/>
                <w:szCs w:val="21"/>
              </w:rPr>
              <w:t>、</w:t>
            </w:r>
            <w:r>
              <w:rPr>
                <w:rFonts w:hint="eastAsia"/>
                <w:b/>
                <w:szCs w:val="21"/>
              </w:rPr>
              <w:t>项目经理具有</w:t>
            </w:r>
            <w:r>
              <w:rPr>
                <w:rFonts w:hint="eastAsia"/>
                <w:b/>
                <w:kern w:val="0"/>
                <w:szCs w:val="21"/>
              </w:rPr>
              <w:t>市政公用工程或港口航道与海岸工程专业</w:t>
            </w:r>
            <w:r>
              <w:rPr>
                <w:rFonts w:hint="eastAsia"/>
                <w:b/>
                <w:szCs w:val="21"/>
              </w:rPr>
              <w:t>高级工程师职称的</w:t>
            </w:r>
            <w:r>
              <w:rPr>
                <w:b/>
                <w:szCs w:val="21"/>
              </w:rPr>
              <w:t>8</w:t>
            </w:r>
            <w:r>
              <w:rPr>
                <w:rFonts w:hint="eastAsia"/>
                <w:b/>
                <w:szCs w:val="21"/>
              </w:rPr>
              <w:t>分，</w:t>
            </w:r>
            <w:r>
              <w:rPr>
                <w:rFonts w:hint="eastAsia"/>
                <w:b/>
                <w:kern w:val="0"/>
                <w:szCs w:val="21"/>
              </w:rPr>
              <w:t>市政公用工程或港口航道与海岸工程</w:t>
            </w:r>
            <w:r>
              <w:rPr>
                <w:rFonts w:hint="eastAsia"/>
                <w:b/>
                <w:szCs w:val="21"/>
              </w:rPr>
              <w:t>师职称得</w:t>
            </w:r>
            <w:r>
              <w:rPr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分。</w:t>
            </w:r>
            <w:r>
              <w:rPr>
                <w:rFonts w:hint="eastAsia" w:hAnsi="宋体"/>
                <w:b/>
                <w:szCs w:val="21"/>
              </w:rPr>
              <w:t>（满分</w:t>
            </w:r>
            <w:r>
              <w:rPr>
                <w:rFonts w:hAnsi="宋体"/>
                <w:b/>
                <w:szCs w:val="21"/>
              </w:rPr>
              <w:t>8</w:t>
            </w:r>
            <w:r>
              <w:rPr>
                <w:rFonts w:hint="eastAsia" w:hAnsi="宋体"/>
                <w:b/>
                <w:szCs w:val="21"/>
              </w:rPr>
              <w:t>分）</w:t>
            </w:r>
          </w:p>
          <w:p>
            <w:pPr>
              <w:widowControl/>
              <w:spacing w:line="420" w:lineRule="exact"/>
              <w:rPr>
                <w:b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color w:val="000000"/>
                <w:szCs w:val="21"/>
              </w:rPr>
              <w:t>2</w:t>
            </w:r>
            <w:r>
              <w:rPr>
                <w:rFonts w:hint="eastAsia" w:hAnsi="宋体"/>
                <w:b/>
                <w:color w:val="000000"/>
                <w:szCs w:val="21"/>
              </w:rPr>
              <w:t>、项目经理具备类似过江管工程业绩的得</w:t>
            </w:r>
            <w:r>
              <w:rPr>
                <w:rFonts w:hAnsi="宋体"/>
                <w:b/>
                <w:color w:val="000000"/>
                <w:szCs w:val="21"/>
              </w:rPr>
              <w:t>2</w:t>
            </w:r>
            <w:r>
              <w:rPr>
                <w:rFonts w:hint="eastAsia" w:hAnsi="宋体"/>
                <w:b/>
                <w:color w:val="000000"/>
                <w:szCs w:val="21"/>
              </w:rPr>
              <w:t>分，提供业绩证明材料（满分</w:t>
            </w:r>
            <w:r>
              <w:rPr>
                <w:rFonts w:hAnsi="宋体"/>
                <w:b/>
                <w:color w:val="000000"/>
                <w:szCs w:val="21"/>
              </w:rPr>
              <w:t>2</w:t>
            </w:r>
            <w:r>
              <w:rPr>
                <w:rFonts w:hint="eastAsia" w:hAnsi="宋体"/>
                <w:b/>
                <w:color w:val="000000"/>
                <w:szCs w:val="21"/>
              </w:rPr>
              <w:t>分）</w:t>
            </w:r>
          </w:p>
          <w:p>
            <w:pPr>
              <w:widowControl/>
              <w:spacing w:line="420" w:lineRule="exact"/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未提供</w:t>
            </w:r>
            <w:r>
              <w:rPr>
                <w:rFonts w:hint="eastAsia"/>
                <w:b/>
                <w:szCs w:val="21"/>
              </w:rPr>
              <w:t>投标人为其缴纳</w:t>
            </w:r>
            <w:r>
              <w:rPr>
                <w:b/>
                <w:szCs w:val="21"/>
              </w:rPr>
              <w:t>2015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  <w:u w:val="single"/>
              </w:rPr>
              <w:t>7—12</w:t>
            </w:r>
            <w:r>
              <w:rPr>
                <w:rFonts w:hint="eastAsia"/>
                <w:b/>
                <w:szCs w:val="21"/>
                <w:u w:val="single"/>
              </w:rPr>
              <w:t>月</w:t>
            </w:r>
            <w:r>
              <w:rPr>
                <w:rFonts w:hint="eastAsia" w:hAnsi="宋体"/>
                <w:b/>
                <w:szCs w:val="21"/>
              </w:rPr>
              <w:t>社会保险的证明材料的不予计分。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8" w:type="dxa"/>
            <w:vMerge w:val="continue"/>
          </w:tcPr>
          <w:p>
            <w:pPr>
              <w:spacing w:line="420" w:lineRule="exact"/>
              <w:rPr>
                <w:b/>
                <w:kern w:val="0"/>
                <w:szCs w:val="21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420" w:lineRule="exact"/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其他主要人员（</w:t>
            </w:r>
            <w:r>
              <w:rPr>
                <w:b/>
                <w:kern w:val="0"/>
                <w:szCs w:val="21"/>
              </w:rPr>
              <w:t>10</w:t>
            </w:r>
            <w:r>
              <w:rPr>
                <w:rFonts w:hint="eastAsia"/>
                <w:b/>
                <w:kern w:val="0"/>
                <w:szCs w:val="21"/>
              </w:rPr>
              <w:t>分）</w:t>
            </w:r>
          </w:p>
        </w:tc>
        <w:tc>
          <w:tcPr>
            <w:tcW w:w="5309" w:type="dxa"/>
            <w:vAlign w:val="center"/>
          </w:tcPr>
          <w:p>
            <w:pPr>
              <w:widowControl/>
              <w:spacing w:line="420" w:lineRule="exac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1</w:t>
            </w:r>
            <w:r>
              <w:rPr>
                <w:rFonts w:hint="eastAsia"/>
                <w:b/>
                <w:kern w:val="0"/>
                <w:szCs w:val="21"/>
              </w:rPr>
              <w:t>、人员齐备、专业配套，具备相关岗位证书：安全员、施工员、造价员、质检员、材料员、潜水员、船员应具有相应岗位资格证书，且拟投入的项目管理人员符合国家及广西壮族自治区的规定得</w:t>
            </w:r>
            <w:r>
              <w:rPr>
                <w:b/>
                <w:kern w:val="0"/>
                <w:szCs w:val="21"/>
              </w:rPr>
              <w:t>4</w:t>
            </w:r>
            <w:r>
              <w:rPr>
                <w:rFonts w:hint="eastAsia"/>
                <w:b/>
                <w:kern w:val="0"/>
                <w:szCs w:val="21"/>
              </w:rPr>
              <w:t>分。</w:t>
            </w:r>
            <w:r>
              <w:rPr>
                <w:rFonts w:hint="eastAsia"/>
                <w:b/>
                <w:szCs w:val="21"/>
              </w:rPr>
              <w:t>每缺一个岗位扣</w:t>
            </w:r>
            <w:r>
              <w:rPr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分，最多扣</w:t>
            </w:r>
            <w:r>
              <w:rPr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分。</w:t>
            </w:r>
          </w:p>
          <w:p>
            <w:pPr>
              <w:widowControl/>
              <w:spacing w:line="420" w:lineRule="exact"/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2</w:t>
            </w:r>
            <w:r>
              <w:rPr>
                <w:rFonts w:hint="eastAsia" w:hAnsi="宋体"/>
                <w:b/>
                <w:szCs w:val="21"/>
              </w:rPr>
              <w:t>、技术负责人具有</w:t>
            </w:r>
            <w:r>
              <w:rPr>
                <w:rFonts w:hint="eastAsia"/>
                <w:b/>
                <w:kern w:val="0"/>
                <w:szCs w:val="21"/>
              </w:rPr>
              <w:t>市政公用工程或港口航道与海岸工程专业</w:t>
            </w:r>
            <w:r>
              <w:rPr>
                <w:rFonts w:hint="eastAsia" w:hAnsi="宋体"/>
                <w:b/>
                <w:szCs w:val="21"/>
              </w:rPr>
              <w:t>中级技术职称的得</w:t>
            </w:r>
            <w:r>
              <w:rPr>
                <w:rFonts w:hAnsi="宋体"/>
                <w:b/>
                <w:szCs w:val="21"/>
              </w:rPr>
              <w:t>3</w:t>
            </w:r>
            <w:r>
              <w:rPr>
                <w:rFonts w:hint="eastAsia" w:hAnsi="宋体"/>
                <w:b/>
                <w:szCs w:val="21"/>
              </w:rPr>
              <w:t>分，具有</w:t>
            </w:r>
            <w:r>
              <w:rPr>
                <w:rFonts w:hint="eastAsia"/>
                <w:b/>
                <w:kern w:val="0"/>
                <w:szCs w:val="21"/>
              </w:rPr>
              <w:t>市政公用工程或港口航道与海岸工程专业</w:t>
            </w:r>
            <w:r>
              <w:rPr>
                <w:rFonts w:hint="eastAsia" w:hAnsi="宋体"/>
                <w:b/>
                <w:szCs w:val="21"/>
              </w:rPr>
              <w:t>高级技术职称的得</w:t>
            </w:r>
            <w:r>
              <w:rPr>
                <w:rFonts w:hAnsi="宋体"/>
                <w:b/>
                <w:szCs w:val="21"/>
              </w:rPr>
              <w:t>6</w:t>
            </w:r>
            <w:r>
              <w:rPr>
                <w:rFonts w:hint="eastAsia" w:hAnsi="宋体"/>
                <w:b/>
                <w:szCs w:val="21"/>
              </w:rPr>
              <w:t>分。（满分</w:t>
            </w:r>
            <w:r>
              <w:rPr>
                <w:rFonts w:hAnsi="宋体"/>
                <w:b/>
                <w:szCs w:val="21"/>
              </w:rPr>
              <w:t>6</w:t>
            </w:r>
            <w:r>
              <w:rPr>
                <w:rFonts w:hint="eastAsia" w:hAnsi="宋体"/>
                <w:b/>
                <w:szCs w:val="21"/>
              </w:rPr>
              <w:t>分）</w:t>
            </w:r>
          </w:p>
          <w:p>
            <w:pPr>
              <w:widowControl/>
              <w:spacing w:line="420" w:lineRule="exact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未提供</w:t>
            </w:r>
            <w:r>
              <w:rPr>
                <w:rFonts w:hint="eastAsia"/>
                <w:b/>
                <w:szCs w:val="21"/>
              </w:rPr>
              <w:t>投标人为上述人员缴纳</w:t>
            </w:r>
            <w:r>
              <w:rPr>
                <w:b/>
                <w:szCs w:val="21"/>
                <w:u w:val="single"/>
              </w:rPr>
              <w:t>2015</w:t>
            </w:r>
            <w:r>
              <w:rPr>
                <w:rFonts w:hint="eastAsia"/>
                <w:b/>
                <w:szCs w:val="21"/>
                <w:u w:val="single"/>
              </w:rPr>
              <w:t>年</w:t>
            </w:r>
            <w:r>
              <w:rPr>
                <w:b/>
                <w:szCs w:val="21"/>
                <w:u w:val="single"/>
              </w:rPr>
              <w:t>7—12</w:t>
            </w:r>
            <w:r>
              <w:rPr>
                <w:rFonts w:hint="eastAsia"/>
                <w:b/>
                <w:szCs w:val="21"/>
                <w:u w:val="single"/>
              </w:rPr>
              <w:t>月</w:t>
            </w:r>
            <w:r>
              <w:rPr>
                <w:rFonts w:hint="eastAsia" w:hAnsi="宋体"/>
                <w:b/>
                <w:szCs w:val="21"/>
              </w:rPr>
              <w:t>社会保险的证明材料的不予计分</w:t>
            </w:r>
            <w:r>
              <w:rPr>
                <w:rFonts w:hint="eastAsia"/>
                <w:b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spacing w:line="4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施工组织设计（</w:t>
            </w:r>
            <w:r>
              <w:rPr>
                <w:b/>
                <w:szCs w:val="21"/>
              </w:rPr>
              <w:t>80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1737" w:type="dxa"/>
            <w:vAlign w:val="center"/>
          </w:tcPr>
          <w:p>
            <w:pPr>
              <w:spacing w:line="420" w:lineRule="exact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总体概述（施工程序总体设想及施工段划分）（满分</w:t>
            </w:r>
            <w:r>
              <w:rPr>
                <w:rFonts w:hAnsi="宋体"/>
                <w:b/>
                <w:szCs w:val="21"/>
              </w:rPr>
              <w:t>10</w:t>
            </w:r>
            <w:r>
              <w:rPr>
                <w:rFonts w:hint="eastAsia" w:hAnsi="宋体"/>
                <w:b/>
                <w:szCs w:val="21"/>
              </w:rPr>
              <w:t>分）</w:t>
            </w:r>
          </w:p>
        </w:tc>
        <w:tc>
          <w:tcPr>
            <w:tcW w:w="5309" w:type="dxa"/>
            <w:vAlign w:val="center"/>
          </w:tcPr>
          <w:p>
            <w:pPr>
              <w:spacing w:line="420" w:lineRule="exact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一档（</w:t>
            </w:r>
            <w:r>
              <w:rPr>
                <w:rFonts w:hAnsi="宋体"/>
                <w:b/>
                <w:szCs w:val="21"/>
              </w:rPr>
              <w:t>6.1-10</w:t>
            </w:r>
            <w:r>
              <w:rPr>
                <w:rFonts w:hint="eastAsia" w:hAnsi="宋体"/>
                <w:b/>
                <w:szCs w:val="21"/>
              </w:rPr>
              <w:t>分）：对项目总体有深刻认识，表述清晰、完整、严谨、合理，措施先进、具体、有效、成熟，采用了已论证的新技术、新工艺、新材料、新设备；施工段划分呼应总体表述，划分清晰、合理，符合规范要求。</w:t>
            </w:r>
          </w:p>
          <w:p>
            <w:pPr>
              <w:spacing w:line="420" w:lineRule="exact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二档（</w:t>
            </w:r>
            <w:r>
              <w:rPr>
                <w:rFonts w:hAnsi="宋体"/>
                <w:b/>
                <w:szCs w:val="21"/>
              </w:rPr>
              <w:t>3.1-6</w:t>
            </w:r>
            <w:r>
              <w:rPr>
                <w:rFonts w:hint="eastAsia" w:hAnsi="宋体"/>
                <w:b/>
                <w:szCs w:val="21"/>
              </w:rPr>
              <w:t>分）：对项目总体有一定认识，表述清晰、完整，措施具体有并行；施工段划分呼应总体表述，划分清晰，符合规范要求。</w:t>
            </w:r>
          </w:p>
          <w:p>
            <w:pPr>
              <w:spacing w:line="420" w:lineRule="exact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三档（</w:t>
            </w:r>
            <w:r>
              <w:rPr>
                <w:rFonts w:hAnsi="宋体"/>
                <w:b/>
                <w:szCs w:val="21"/>
              </w:rPr>
              <w:t>0-3</w:t>
            </w:r>
            <w:r>
              <w:rPr>
                <w:rFonts w:hint="eastAsia" w:hAnsi="宋体"/>
                <w:b/>
                <w:szCs w:val="21"/>
              </w:rPr>
              <w:t>分）：对项目总体认识不足，有一定的措施但部分不具体；施工段划分较合理，符合规范要求。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8" w:type="dxa"/>
            <w:vMerge w:val="continue"/>
          </w:tcPr>
          <w:p>
            <w:pPr>
              <w:spacing w:line="420" w:lineRule="exact"/>
              <w:rPr>
                <w:b/>
                <w:szCs w:val="21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420" w:lineRule="exact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施工进度计划和各阶段进度的保证措施及违约责任承诺（满分</w:t>
            </w:r>
            <w:r>
              <w:rPr>
                <w:rFonts w:hAnsi="宋体"/>
                <w:b/>
                <w:szCs w:val="21"/>
              </w:rPr>
              <w:t>10</w:t>
            </w:r>
            <w:r>
              <w:rPr>
                <w:rFonts w:hint="eastAsia" w:hAnsi="宋体"/>
                <w:b/>
                <w:szCs w:val="21"/>
              </w:rPr>
              <w:t>分）</w:t>
            </w:r>
          </w:p>
        </w:tc>
        <w:tc>
          <w:tcPr>
            <w:tcW w:w="5309" w:type="dxa"/>
          </w:tcPr>
          <w:p>
            <w:pPr>
              <w:spacing w:line="420" w:lineRule="exact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一档（</w:t>
            </w:r>
            <w:r>
              <w:rPr>
                <w:rFonts w:hAnsi="宋体"/>
                <w:b/>
                <w:szCs w:val="21"/>
              </w:rPr>
              <w:t>6.1-10</w:t>
            </w:r>
            <w:r>
              <w:rPr>
                <w:rFonts w:hint="eastAsia" w:hAnsi="宋体"/>
                <w:b/>
                <w:szCs w:val="21"/>
              </w:rPr>
              <w:t>分）：进度计划清晰、准确、完整、计划编制比较合理、可行，关键节点的控制措施有力、合理、可行，进度违约责任承诺具体、可行。</w:t>
            </w:r>
          </w:p>
          <w:p>
            <w:pPr>
              <w:spacing w:line="420" w:lineRule="exact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二档（</w:t>
            </w:r>
            <w:r>
              <w:rPr>
                <w:rFonts w:hAnsi="宋体"/>
                <w:b/>
                <w:szCs w:val="21"/>
              </w:rPr>
              <w:t>3.1-6</w:t>
            </w:r>
            <w:r>
              <w:rPr>
                <w:rFonts w:hint="eastAsia" w:hAnsi="宋体"/>
                <w:b/>
                <w:szCs w:val="21"/>
              </w:rPr>
              <w:t>分）：进度计划清晰、准确、完整、计划编制基本合理、可行，关键节点的控制措施基本合理、可行，进度违约责任承诺具体。</w:t>
            </w:r>
          </w:p>
          <w:p>
            <w:pPr>
              <w:spacing w:line="420" w:lineRule="exact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三档（</w:t>
            </w:r>
            <w:r>
              <w:rPr>
                <w:rFonts w:hAnsi="宋体"/>
                <w:b/>
                <w:szCs w:val="21"/>
              </w:rPr>
              <w:t>0-3</w:t>
            </w:r>
            <w:r>
              <w:rPr>
                <w:rFonts w:hint="eastAsia" w:hAnsi="宋体"/>
                <w:b/>
                <w:szCs w:val="21"/>
              </w:rPr>
              <w:t>分）：进度计划编制不合理，关键节点的控制不可行，违约责任承诺不具体或没有违约责任承诺。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8" w:type="dxa"/>
            <w:vMerge w:val="continue"/>
          </w:tcPr>
          <w:p>
            <w:pPr>
              <w:spacing w:line="420" w:lineRule="exact"/>
              <w:rPr>
                <w:b/>
                <w:szCs w:val="21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420" w:lineRule="exact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劳动力投入计划</w:t>
            </w:r>
          </w:p>
          <w:p>
            <w:pPr>
              <w:spacing w:line="420" w:lineRule="exact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（满分</w:t>
            </w:r>
            <w:r>
              <w:rPr>
                <w:rFonts w:hAnsi="宋体"/>
                <w:b/>
                <w:szCs w:val="21"/>
              </w:rPr>
              <w:t>10</w:t>
            </w:r>
            <w:r>
              <w:rPr>
                <w:rFonts w:hint="eastAsia" w:hAnsi="宋体"/>
                <w:b/>
                <w:szCs w:val="21"/>
              </w:rPr>
              <w:t>分）</w:t>
            </w:r>
          </w:p>
        </w:tc>
        <w:tc>
          <w:tcPr>
            <w:tcW w:w="5309" w:type="dxa"/>
          </w:tcPr>
          <w:p>
            <w:pPr>
              <w:spacing w:line="420" w:lineRule="exact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一档（</w:t>
            </w:r>
            <w:r>
              <w:rPr>
                <w:rFonts w:hAnsi="宋体"/>
                <w:b/>
                <w:szCs w:val="21"/>
              </w:rPr>
              <w:t>6.1-10</w:t>
            </w:r>
            <w:r>
              <w:rPr>
                <w:rFonts w:hint="eastAsia" w:hAnsi="宋体"/>
                <w:b/>
                <w:szCs w:val="21"/>
              </w:rPr>
              <w:t>分）：劳动力投入计划与施工进度计划匹配，满足施工需要。</w:t>
            </w:r>
          </w:p>
          <w:p>
            <w:pPr>
              <w:spacing w:line="420" w:lineRule="exact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二档（</w:t>
            </w:r>
            <w:r>
              <w:rPr>
                <w:rFonts w:hAnsi="宋体"/>
                <w:b/>
                <w:szCs w:val="21"/>
              </w:rPr>
              <w:t>3.1-6</w:t>
            </w:r>
            <w:r>
              <w:rPr>
                <w:rFonts w:hint="eastAsia" w:hAnsi="宋体"/>
                <w:b/>
                <w:szCs w:val="21"/>
              </w:rPr>
              <w:t>分）：劳动力投入计划基本能满足施工需要。</w:t>
            </w:r>
          </w:p>
          <w:p>
            <w:pPr>
              <w:spacing w:line="420" w:lineRule="exact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三档（</w:t>
            </w:r>
            <w:r>
              <w:rPr>
                <w:rFonts w:hAnsi="宋体"/>
                <w:b/>
                <w:szCs w:val="21"/>
              </w:rPr>
              <w:t>0-3</w:t>
            </w:r>
            <w:r>
              <w:rPr>
                <w:rFonts w:hint="eastAsia" w:hAnsi="宋体"/>
                <w:b/>
                <w:szCs w:val="21"/>
              </w:rPr>
              <w:t>分）：劳动力投入计划与施工进度计划不匹配。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8" w:type="dxa"/>
            <w:vMerge w:val="continue"/>
          </w:tcPr>
          <w:p>
            <w:pPr>
              <w:spacing w:line="420" w:lineRule="exact"/>
              <w:rPr>
                <w:b/>
                <w:szCs w:val="21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420" w:lineRule="exact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拟投入的主要物资计划（满分</w:t>
            </w:r>
            <w:r>
              <w:rPr>
                <w:rFonts w:hAnsi="宋体"/>
                <w:b/>
                <w:szCs w:val="21"/>
              </w:rPr>
              <w:t>10</w:t>
            </w:r>
            <w:r>
              <w:rPr>
                <w:rFonts w:hint="eastAsia" w:hAnsi="宋体"/>
                <w:b/>
                <w:szCs w:val="21"/>
              </w:rPr>
              <w:t>分）</w:t>
            </w:r>
          </w:p>
        </w:tc>
        <w:tc>
          <w:tcPr>
            <w:tcW w:w="5309" w:type="dxa"/>
            <w:vAlign w:val="center"/>
          </w:tcPr>
          <w:p>
            <w:pPr>
              <w:spacing w:line="420" w:lineRule="exact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一档（</w:t>
            </w:r>
            <w:r>
              <w:rPr>
                <w:rFonts w:hAnsi="宋体"/>
                <w:b/>
                <w:szCs w:val="21"/>
              </w:rPr>
              <w:t>6.1-10</w:t>
            </w:r>
            <w:r>
              <w:rPr>
                <w:rFonts w:hint="eastAsia" w:hAnsi="宋体"/>
                <w:b/>
                <w:szCs w:val="21"/>
              </w:rPr>
              <w:t>分）：投入的施工材料有详细的组织计划且计划周密，数量、选型配置、进场时间安排合理，满足施工需要。</w:t>
            </w:r>
          </w:p>
          <w:p>
            <w:pPr>
              <w:spacing w:line="420" w:lineRule="exact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二档（</w:t>
            </w:r>
            <w:r>
              <w:rPr>
                <w:rFonts w:hAnsi="宋体"/>
                <w:b/>
                <w:szCs w:val="21"/>
              </w:rPr>
              <w:t>3.1-6</w:t>
            </w:r>
            <w:r>
              <w:rPr>
                <w:rFonts w:hint="eastAsia" w:hAnsi="宋体"/>
                <w:b/>
                <w:szCs w:val="21"/>
              </w:rPr>
              <w:t>分）：投入的施工材料有详细的组织计划，数量、选型配置、进场时间安排基本合理，基本满足施工需要。</w:t>
            </w:r>
          </w:p>
          <w:p>
            <w:pPr>
              <w:spacing w:line="420" w:lineRule="exact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三档（</w:t>
            </w:r>
            <w:r>
              <w:rPr>
                <w:rFonts w:hAnsi="宋体"/>
                <w:b/>
                <w:szCs w:val="21"/>
              </w:rPr>
              <w:t>0-3</w:t>
            </w:r>
            <w:r>
              <w:rPr>
                <w:rFonts w:hint="eastAsia" w:hAnsi="宋体"/>
                <w:b/>
                <w:szCs w:val="21"/>
              </w:rPr>
              <w:t>分）：投入的施工材料与施工进度计划不匹配。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spacing w:line="420" w:lineRule="exact"/>
              <w:rPr>
                <w:b/>
                <w:szCs w:val="21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420" w:lineRule="exact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机械设备投入计划及检测设备（满分</w:t>
            </w:r>
            <w:r>
              <w:rPr>
                <w:rFonts w:hAnsi="宋体"/>
                <w:b/>
                <w:szCs w:val="21"/>
              </w:rPr>
              <w:t>10</w:t>
            </w:r>
            <w:r>
              <w:rPr>
                <w:rFonts w:hint="eastAsia" w:hAnsi="宋体"/>
                <w:b/>
                <w:szCs w:val="21"/>
              </w:rPr>
              <w:t>分）</w:t>
            </w:r>
          </w:p>
        </w:tc>
        <w:tc>
          <w:tcPr>
            <w:tcW w:w="5309" w:type="dxa"/>
            <w:vAlign w:val="center"/>
          </w:tcPr>
          <w:p>
            <w:pPr>
              <w:spacing w:line="420" w:lineRule="exact"/>
              <w:rPr>
                <w:rFonts w:hAnsi="宋体"/>
                <w:b/>
                <w:color w:val="000000"/>
                <w:szCs w:val="21"/>
              </w:rPr>
            </w:pPr>
            <w:r>
              <w:rPr>
                <w:rFonts w:hint="eastAsia" w:hAnsi="宋体"/>
                <w:b/>
                <w:color w:val="000000"/>
                <w:szCs w:val="21"/>
              </w:rPr>
              <w:t>一档（</w:t>
            </w:r>
            <w:r>
              <w:rPr>
                <w:rFonts w:hAnsi="宋体"/>
                <w:b/>
                <w:color w:val="000000"/>
                <w:szCs w:val="21"/>
              </w:rPr>
              <w:t>7.1-10</w:t>
            </w:r>
            <w:r>
              <w:rPr>
                <w:rFonts w:hint="eastAsia" w:hAnsi="宋体"/>
                <w:b/>
                <w:color w:val="000000"/>
                <w:szCs w:val="21"/>
              </w:rPr>
              <w:t>分）：投标单位投入自有的挖泥船、泥驳等主要水下施工大型设备并提供有效证书证明，且机械设备投入有针对性、合理、满足施工需要。</w:t>
            </w:r>
          </w:p>
          <w:p>
            <w:pPr>
              <w:spacing w:line="420" w:lineRule="exact"/>
              <w:rPr>
                <w:rFonts w:hAnsi="宋体"/>
                <w:b/>
                <w:color w:val="000000"/>
                <w:szCs w:val="21"/>
              </w:rPr>
            </w:pPr>
            <w:r>
              <w:rPr>
                <w:rFonts w:hint="eastAsia" w:hAnsi="宋体"/>
                <w:b/>
                <w:color w:val="000000"/>
                <w:szCs w:val="21"/>
              </w:rPr>
              <w:t>二档（</w:t>
            </w:r>
            <w:r>
              <w:rPr>
                <w:rFonts w:hAnsi="宋体"/>
                <w:b/>
                <w:color w:val="000000"/>
                <w:szCs w:val="21"/>
              </w:rPr>
              <w:t>3.1-7</w:t>
            </w:r>
            <w:r>
              <w:rPr>
                <w:rFonts w:hint="eastAsia" w:hAnsi="宋体"/>
                <w:b/>
                <w:color w:val="000000"/>
                <w:szCs w:val="21"/>
              </w:rPr>
              <w:t>分）：投标单位自有挖泥船、泥驳等主要水下施工大型设备其中一项，另一项为租赁的，提供有效租赁合同（或意向租赁合同）及相应证书，且机械设备投入基本合理、满足施工需要。</w:t>
            </w:r>
          </w:p>
          <w:p>
            <w:pPr>
              <w:spacing w:line="420" w:lineRule="exact"/>
              <w:rPr>
                <w:rFonts w:hAnsi="宋体"/>
                <w:b/>
                <w:color w:val="000000"/>
                <w:szCs w:val="21"/>
              </w:rPr>
            </w:pPr>
            <w:r>
              <w:rPr>
                <w:rFonts w:hint="eastAsia" w:hAnsi="宋体"/>
                <w:b/>
                <w:color w:val="000000"/>
                <w:szCs w:val="21"/>
              </w:rPr>
              <w:t>三档（</w:t>
            </w:r>
            <w:r>
              <w:rPr>
                <w:rFonts w:hAnsi="宋体"/>
                <w:b/>
                <w:color w:val="000000"/>
                <w:szCs w:val="21"/>
              </w:rPr>
              <w:t>0-3</w:t>
            </w:r>
            <w:r>
              <w:rPr>
                <w:rFonts w:hint="eastAsia" w:hAnsi="宋体"/>
                <w:b/>
                <w:color w:val="000000"/>
                <w:szCs w:val="21"/>
              </w:rPr>
              <w:t>分）：投标单位没有挖泥船、泥驳等主要水下施工大型设备，但提供有效租赁合同（或意向租赁合同）及相应证书，且机械设备投入基本合理、基本满足施工需要。</w:t>
            </w:r>
          </w:p>
          <w:p>
            <w:pPr>
              <w:spacing w:line="420" w:lineRule="exact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注：拟投入挖泥船、泥驳等主要水下施工大型设备需提供有效证件（须提供所有权证书、船舶检验证书）的复印件（正本需彩色扫描件或彩色复印件），以上证书必须在年检有效期内，如为租赁则还须提供有效租赁合同</w:t>
            </w:r>
            <w:r>
              <w:rPr>
                <w:rFonts w:hint="eastAsia" w:hAnsi="宋体"/>
                <w:b/>
                <w:color w:val="000000"/>
                <w:szCs w:val="21"/>
              </w:rPr>
              <w:t>（或意向租赁合同）。评标期间投标人持拟投入的挖泥船、泥驳上述证件原件备查，否则该项不得分。如提供意向租赁合同，中标通知书发出之日起</w:t>
            </w:r>
            <w:r>
              <w:rPr>
                <w:rFonts w:hAnsi="宋体"/>
                <w:b/>
                <w:color w:val="000000"/>
                <w:szCs w:val="21"/>
              </w:rPr>
              <w:t>5</w:t>
            </w:r>
            <w:r>
              <w:rPr>
                <w:rFonts w:hint="eastAsia" w:hAnsi="宋体"/>
                <w:b/>
                <w:color w:val="000000"/>
                <w:szCs w:val="21"/>
              </w:rPr>
              <w:t>个工作日内提供有效的租赁合同，经业主审核确认方能签订施工合同，否则取消中标资格。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spacing w:line="420" w:lineRule="exact"/>
              <w:rPr>
                <w:b/>
                <w:szCs w:val="21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420" w:lineRule="exact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施工平面布置和临时设施布置</w:t>
            </w:r>
          </w:p>
          <w:p>
            <w:pPr>
              <w:spacing w:line="420" w:lineRule="exact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（满分10分）</w:t>
            </w:r>
          </w:p>
        </w:tc>
        <w:tc>
          <w:tcPr>
            <w:tcW w:w="5309" w:type="dxa"/>
            <w:vAlign w:val="center"/>
          </w:tcPr>
          <w:p>
            <w:pPr>
              <w:spacing w:line="420" w:lineRule="exact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根据布置合理性，满足施工需要性，符合安全、文明生产要求情况在</w:t>
            </w:r>
            <w:r>
              <w:rPr>
                <w:rFonts w:hAnsi="宋体"/>
                <w:b/>
                <w:szCs w:val="21"/>
              </w:rPr>
              <w:t>0-</w:t>
            </w:r>
            <w:r>
              <w:rPr>
                <w:rFonts w:hint="eastAsia" w:hAnsi="宋体"/>
                <w:b/>
                <w:szCs w:val="21"/>
              </w:rPr>
              <w:t>10分内进行打分。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spacing w:line="420" w:lineRule="exact"/>
              <w:rPr>
                <w:b/>
                <w:szCs w:val="21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420" w:lineRule="exact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关键施工技术、工艺及工程项目实施的重点、难点和解决方案</w:t>
            </w:r>
          </w:p>
          <w:p>
            <w:pPr>
              <w:spacing w:line="420" w:lineRule="exact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（满分</w:t>
            </w:r>
            <w:r>
              <w:rPr>
                <w:rFonts w:hAnsi="宋体"/>
                <w:b/>
                <w:szCs w:val="21"/>
              </w:rPr>
              <w:t>10</w:t>
            </w:r>
            <w:r>
              <w:rPr>
                <w:rFonts w:hint="eastAsia" w:hAnsi="宋体"/>
                <w:b/>
                <w:szCs w:val="21"/>
              </w:rPr>
              <w:t>分）</w:t>
            </w:r>
          </w:p>
        </w:tc>
        <w:tc>
          <w:tcPr>
            <w:tcW w:w="5309" w:type="dxa"/>
          </w:tcPr>
          <w:p>
            <w:pPr>
              <w:spacing w:line="420" w:lineRule="exact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一档（</w:t>
            </w:r>
            <w:r>
              <w:rPr>
                <w:rFonts w:hAnsi="宋体"/>
                <w:b/>
                <w:szCs w:val="21"/>
              </w:rPr>
              <w:t>6.1-10</w:t>
            </w:r>
            <w:r>
              <w:rPr>
                <w:rFonts w:hint="eastAsia" w:hAnsi="宋体"/>
                <w:b/>
                <w:szCs w:val="21"/>
              </w:rPr>
              <w:t>分）：对项目关键技术、工艺有先进合理的表述，对重点、难点有先进合理的施工措施并有切实可行的安全措施，解决方案完整、经济、安全、切实可行措施得力，有解决施工与通航的具体措施。</w:t>
            </w:r>
          </w:p>
          <w:p>
            <w:pPr>
              <w:spacing w:line="420" w:lineRule="exact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二档（</w:t>
            </w:r>
            <w:r>
              <w:rPr>
                <w:rFonts w:hAnsi="宋体"/>
                <w:b/>
                <w:szCs w:val="21"/>
              </w:rPr>
              <w:t>3.1-6</w:t>
            </w:r>
            <w:r>
              <w:rPr>
                <w:rFonts w:hint="eastAsia" w:hAnsi="宋体"/>
                <w:b/>
                <w:szCs w:val="21"/>
              </w:rPr>
              <w:t>）：对项目关键技术有一定了解，对重点、难点有建议，解决方案基本可行，有解决施工与通航的具体措施。</w:t>
            </w:r>
          </w:p>
          <w:p>
            <w:pPr>
              <w:spacing w:line="420" w:lineRule="exact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三档（</w:t>
            </w:r>
            <w:r>
              <w:rPr>
                <w:rFonts w:hAnsi="宋体"/>
                <w:b/>
                <w:szCs w:val="21"/>
              </w:rPr>
              <w:t>0-3</w:t>
            </w:r>
            <w:r>
              <w:rPr>
                <w:rFonts w:hint="eastAsia" w:hAnsi="宋体"/>
                <w:b/>
                <w:szCs w:val="21"/>
              </w:rPr>
              <w:t>分）：对项目关键技术表述不清，对重点、难点无建议，解决方案不可行。无解决施工与通航的具体措施。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spacing w:line="420" w:lineRule="exact"/>
              <w:rPr>
                <w:b/>
                <w:szCs w:val="21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420" w:lineRule="exact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安全文明施工（满分10分）</w:t>
            </w:r>
          </w:p>
        </w:tc>
        <w:tc>
          <w:tcPr>
            <w:tcW w:w="5309" w:type="dxa"/>
            <w:vAlign w:val="center"/>
          </w:tcPr>
          <w:p>
            <w:pPr>
              <w:tabs>
                <w:tab w:val="left" w:pos="1050"/>
              </w:tabs>
              <w:snapToGrid w:val="0"/>
              <w:spacing w:line="420" w:lineRule="exact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一档（6</w:t>
            </w:r>
            <w:r>
              <w:rPr>
                <w:rFonts w:hAnsi="宋体"/>
                <w:b/>
                <w:szCs w:val="21"/>
              </w:rPr>
              <w:t>.1-</w:t>
            </w:r>
            <w:r>
              <w:rPr>
                <w:rFonts w:hint="eastAsia" w:hAnsi="宋体"/>
                <w:b/>
                <w:szCs w:val="21"/>
              </w:rPr>
              <w:t>10分）：针对项目实际情况，有先进、具体、完整、可行的实施措施，采用规范正确、清晰。</w:t>
            </w:r>
          </w:p>
          <w:p>
            <w:pPr>
              <w:tabs>
                <w:tab w:val="left" w:pos="1050"/>
              </w:tabs>
              <w:snapToGrid w:val="0"/>
              <w:spacing w:line="420" w:lineRule="exact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二档（3</w:t>
            </w:r>
            <w:r>
              <w:rPr>
                <w:rFonts w:hAnsi="宋体"/>
                <w:b/>
                <w:szCs w:val="21"/>
              </w:rPr>
              <w:t>.1-</w:t>
            </w:r>
            <w:r>
              <w:rPr>
                <w:rFonts w:hint="eastAsia" w:hAnsi="宋体"/>
                <w:b/>
                <w:szCs w:val="21"/>
              </w:rPr>
              <w:t>6分）：有基本合理的措施，采用规范正确。</w:t>
            </w:r>
          </w:p>
          <w:p>
            <w:pPr>
              <w:spacing w:line="420" w:lineRule="exact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三档（</w:t>
            </w:r>
            <w:r>
              <w:rPr>
                <w:rFonts w:hAnsi="宋体"/>
                <w:b/>
                <w:szCs w:val="21"/>
              </w:rPr>
              <w:t>0-</w:t>
            </w:r>
            <w:r>
              <w:rPr>
                <w:rFonts w:hint="eastAsia" w:hAnsi="宋体"/>
                <w:b/>
                <w:szCs w:val="21"/>
              </w:rPr>
              <w:t>3分）：安全文明措施不得力，采用规范不正确。</w:t>
            </w:r>
          </w:p>
        </w:tc>
      </w:tr>
    </w:tbl>
    <w:p>
      <w:pPr>
        <w:spacing w:line="420" w:lineRule="exact"/>
        <w:ind w:firstLine="422" w:firstLineChars="200"/>
        <w:rPr>
          <w:b/>
          <w:color w:val="000000"/>
          <w:szCs w:val="21"/>
          <w:shd w:val="clear" w:color="auto" w:fill="FFFFFF"/>
        </w:rPr>
      </w:pPr>
      <w:r>
        <w:rPr>
          <w:rFonts w:hint="eastAsia"/>
          <w:b/>
          <w:color w:val="000000"/>
          <w:szCs w:val="21"/>
          <w:shd w:val="clear" w:color="auto" w:fill="FFFFFF"/>
        </w:rPr>
        <w:t>除了以上内容更改外，其他内容不变。</w:t>
      </w:r>
    </w:p>
    <w:p>
      <w:pPr>
        <w:spacing w:line="420" w:lineRule="exact"/>
        <w:ind w:firstLine="422" w:firstLineChars="200"/>
        <w:rPr>
          <w:b/>
          <w:color w:val="000000"/>
          <w:szCs w:val="21"/>
          <w:shd w:val="clear" w:color="auto" w:fill="FFFFFF"/>
        </w:rPr>
      </w:pPr>
      <w:r>
        <w:rPr>
          <w:rFonts w:hint="eastAsia"/>
          <w:b/>
          <w:color w:val="000000"/>
          <w:szCs w:val="21"/>
          <w:shd w:val="clear" w:color="auto" w:fill="FFFFFF"/>
        </w:rPr>
        <w:t>三、网上查询</w:t>
      </w:r>
    </w:p>
    <w:p>
      <w:pPr>
        <w:spacing w:line="420" w:lineRule="exact"/>
        <w:rPr>
          <w:rFonts w:ascii="宋体"/>
          <w:szCs w:val="21"/>
        </w:rPr>
      </w:pPr>
      <w:r>
        <w:rPr>
          <w:rFonts w:hint="eastAsia"/>
          <w:szCs w:val="21"/>
        </w:rPr>
        <w:t>本次公告同时在</w:t>
      </w:r>
      <w:r>
        <w:rPr>
          <w:rFonts w:hint="eastAsia" w:ascii="瀹嬩綋" w:hAnsi="Calibri" w:eastAsia="瀹嬩綋" w:cs="Calibri"/>
          <w:color w:val="000000"/>
          <w:szCs w:val="21"/>
        </w:rPr>
        <w:t>中国采购与招标网（</w:t>
      </w:r>
      <w:r>
        <w:fldChar w:fldCharType="begin"/>
      </w:r>
      <w:r>
        <w:instrText xml:space="preserve"> HYPERLINK "http://www.chinabidding.com.cn/" </w:instrText>
      </w:r>
      <w:r>
        <w:fldChar w:fldCharType="separate"/>
      </w:r>
      <w:r>
        <w:rPr>
          <w:rStyle w:val="5"/>
          <w:rFonts w:ascii="瀹嬩綋" w:hAnsi="Calibri" w:eastAsia="瀹嬩綋" w:cs="Calibri"/>
          <w:color w:val="000000"/>
          <w:szCs w:val="21"/>
        </w:rPr>
        <w:t>www.chinabidding.com.cn</w:t>
      </w:r>
      <w:r>
        <w:rPr>
          <w:rStyle w:val="5"/>
          <w:rFonts w:ascii="瀹嬩綋" w:hAnsi="Calibri" w:eastAsia="瀹嬩綋" w:cs="Calibri"/>
          <w:color w:val="000000"/>
          <w:szCs w:val="21"/>
        </w:rPr>
        <w:fldChar w:fldCharType="end"/>
      </w:r>
      <w:r>
        <w:rPr>
          <w:rFonts w:hint="eastAsia" w:ascii="瀹嬩綋" w:hAnsi="Calibri" w:eastAsia="瀹嬩綋" w:cs="Calibri"/>
          <w:color w:val="000000"/>
          <w:szCs w:val="21"/>
        </w:rPr>
        <w:t>）、广西招标投标监督网（</w:t>
      </w:r>
      <w:r>
        <w:fldChar w:fldCharType="begin"/>
      </w:r>
      <w:r>
        <w:instrText xml:space="preserve"> HYPERLINK "http://http/ztb.gxi.gov.cn" </w:instrText>
      </w:r>
      <w:r>
        <w:fldChar w:fldCharType="separate"/>
      </w:r>
      <w:r>
        <w:rPr>
          <w:rFonts w:ascii="宋体" w:hAnsi="宋体"/>
          <w:szCs w:val="21"/>
        </w:rPr>
        <w:t>http://ztb.gxi.gov.cn</w:t>
      </w:r>
      <w:r>
        <w:rPr>
          <w:rFonts w:ascii="宋体" w:hAnsi="宋体"/>
          <w:szCs w:val="21"/>
        </w:rPr>
        <w:fldChar w:fldCharType="end"/>
      </w:r>
      <w:r>
        <w:rPr>
          <w:rFonts w:hint="eastAsia" w:ascii="瀹嬩綋" w:hAnsi="Calibri" w:eastAsia="瀹嬩綋" w:cs="Calibri"/>
          <w:color w:val="000000"/>
          <w:szCs w:val="21"/>
        </w:rPr>
        <w:t>）、中国政府采购网（</w:t>
      </w:r>
      <w:r>
        <w:rPr>
          <w:rFonts w:ascii="瀹嬩綋" w:hAnsi="Calibri" w:eastAsia="瀹嬩綋" w:cs="Calibri"/>
          <w:color w:val="000000"/>
          <w:szCs w:val="21"/>
        </w:rPr>
        <w:t>http://www.ccgp.gov.cn</w:t>
      </w:r>
      <w:r>
        <w:rPr>
          <w:rFonts w:hint="eastAsia" w:ascii="瀹嬩綋" w:hAnsi="Calibri" w:eastAsia="瀹嬩綋" w:cs="Calibri"/>
          <w:color w:val="000000"/>
          <w:szCs w:val="21"/>
        </w:rPr>
        <w:t>）、广西壮族自治区政府采购网（</w:t>
      </w:r>
      <w:r>
        <w:rPr>
          <w:rFonts w:ascii="瀹嬩綋" w:hAnsi="Calibri" w:eastAsia="瀹嬩綋" w:cs="Calibri"/>
          <w:color w:val="000000"/>
          <w:szCs w:val="21"/>
        </w:rPr>
        <w:t>http://www.gxzfcg.gov.cn</w:t>
      </w:r>
      <w:r>
        <w:rPr>
          <w:rFonts w:hint="eastAsia" w:ascii="瀹嬩綋" w:hAnsi="Calibri" w:eastAsia="瀹嬩綋" w:cs="Calibri"/>
          <w:color w:val="000000"/>
          <w:szCs w:val="21"/>
        </w:rPr>
        <w:t>）、百色市公共资源交易中心网（</w:t>
      </w:r>
      <w:r>
        <w:rPr>
          <w:rFonts w:ascii="瀹嬩綋" w:hAnsi="Calibri" w:eastAsia="瀹嬩綋" w:cs="Calibri"/>
          <w:color w:val="000000"/>
          <w:szCs w:val="21"/>
        </w:rPr>
        <w:t>http://www.bsggzy.cn</w:t>
      </w:r>
      <w:r>
        <w:rPr>
          <w:rFonts w:hint="eastAsia" w:ascii="瀹嬩綋" w:hAnsi="Calibri" w:eastAsia="瀹嬩綋" w:cs="Calibri"/>
          <w:color w:val="000000"/>
          <w:szCs w:val="21"/>
        </w:rPr>
        <w:t>）、百色市住房和城乡规划建设委员会网（</w:t>
      </w:r>
      <w:r>
        <w:rPr>
          <w:rFonts w:ascii="瀹嬩綋" w:hAnsi="Calibri" w:eastAsia="瀹嬩綋" w:cs="Calibri"/>
          <w:color w:val="000000"/>
          <w:szCs w:val="21"/>
        </w:rPr>
        <w:t>http://jgw.baise.gov.cn</w:t>
      </w:r>
      <w:r>
        <w:rPr>
          <w:rFonts w:hint="eastAsia" w:ascii="瀹嬩綋" w:hAnsi="Calibri" w:eastAsia="瀹嬩綋" w:cs="Calibri"/>
          <w:color w:val="000000"/>
          <w:szCs w:val="21"/>
        </w:rPr>
        <w:t>）。</w:t>
      </w:r>
    </w:p>
    <w:p>
      <w:pPr>
        <w:pStyle w:val="3"/>
        <w:shd w:val="clear" w:color="auto" w:fill="FFFFFF"/>
        <w:spacing w:before="0" w:beforeAutospacing="0" w:after="0" w:afterAutospacing="0" w:line="420" w:lineRule="exact"/>
        <w:ind w:firstLine="422" w:firstLineChars="200"/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hint="eastAsia" w:cs="Times New Roman"/>
          <w:b/>
          <w:color w:val="000000"/>
          <w:sz w:val="21"/>
          <w:szCs w:val="21"/>
        </w:rPr>
        <w:t>四、联系方式</w:t>
      </w:r>
    </w:p>
    <w:p>
      <w:pPr>
        <w:pStyle w:val="3"/>
        <w:shd w:val="clear" w:color="auto" w:fill="FFFFFF"/>
        <w:spacing w:before="0" w:beforeAutospacing="0" w:after="0" w:afterAutospacing="0" w:line="420" w:lineRule="exact"/>
        <w:ind w:firstLine="420"/>
        <w:jc w:val="both"/>
        <w:rPr>
          <w:rFonts w:cs="Times New Roman"/>
          <w:color w:val="000000"/>
          <w:sz w:val="21"/>
          <w:szCs w:val="21"/>
        </w:rPr>
      </w:pPr>
      <w:r>
        <w:rPr>
          <w:rFonts w:hint="eastAsia" w:cs="Times New Roman"/>
          <w:color w:val="000000"/>
          <w:sz w:val="21"/>
          <w:szCs w:val="21"/>
        </w:rPr>
        <w:t>招标人：</w:t>
      </w:r>
      <w:r>
        <w:rPr>
          <w:rFonts w:hint="eastAsia"/>
          <w:sz w:val="21"/>
          <w:szCs w:val="21"/>
        </w:rPr>
        <w:t>广西百色右江水务有限责任公司</w:t>
      </w:r>
      <w:r>
        <w:rPr>
          <w:rFonts w:cs="Times New Roman"/>
          <w:color w:val="000000"/>
          <w:sz w:val="21"/>
          <w:szCs w:val="21"/>
        </w:rPr>
        <w:t>   </w:t>
      </w:r>
    </w:p>
    <w:p>
      <w:pPr>
        <w:pStyle w:val="3"/>
        <w:shd w:val="clear" w:color="auto" w:fill="FFFFFF"/>
        <w:spacing w:before="0" w:beforeAutospacing="0" w:after="0" w:afterAutospacing="0" w:line="420" w:lineRule="exact"/>
        <w:ind w:firstLine="420"/>
        <w:jc w:val="both"/>
        <w:rPr>
          <w:rFonts w:cs="Times New Roman"/>
          <w:color w:val="000000"/>
          <w:sz w:val="21"/>
          <w:szCs w:val="21"/>
        </w:rPr>
      </w:pPr>
      <w:r>
        <w:rPr>
          <w:rFonts w:hint="eastAsia" w:cs="Times New Roman"/>
          <w:color w:val="000000"/>
          <w:sz w:val="21"/>
          <w:szCs w:val="21"/>
        </w:rPr>
        <w:t>联系人：甘工</w:t>
      </w:r>
    </w:p>
    <w:p>
      <w:pPr>
        <w:pStyle w:val="3"/>
        <w:shd w:val="clear" w:color="auto" w:fill="FFFFFF"/>
        <w:spacing w:before="0" w:beforeAutospacing="0" w:after="0" w:afterAutospacing="0" w:line="420" w:lineRule="exact"/>
        <w:ind w:firstLine="420"/>
        <w:jc w:val="both"/>
        <w:rPr>
          <w:rFonts w:cs="Times New Roman"/>
          <w:color w:val="000000"/>
          <w:sz w:val="21"/>
          <w:szCs w:val="21"/>
        </w:rPr>
      </w:pPr>
      <w:r>
        <w:rPr>
          <w:rFonts w:hint="eastAsia" w:cs="Times New Roman"/>
          <w:color w:val="000000"/>
          <w:sz w:val="21"/>
          <w:szCs w:val="21"/>
        </w:rPr>
        <w:t>联系电话：</w:t>
      </w:r>
      <w:r>
        <w:rPr>
          <w:rFonts w:cs="Times New Roman"/>
          <w:color w:val="000000"/>
          <w:sz w:val="21"/>
          <w:szCs w:val="21"/>
        </w:rPr>
        <w:t>15677611441</w:t>
      </w:r>
    </w:p>
    <w:p>
      <w:pPr>
        <w:pStyle w:val="3"/>
        <w:shd w:val="clear" w:color="auto" w:fill="FFFFFF"/>
        <w:spacing w:before="0" w:beforeAutospacing="0" w:after="0" w:afterAutospacing="0" w:line="420" w:lineRule="exact"/>
        <w:ind w:firstLine="420"/>
        <w:jc w:val="both"/>
        <w:rPr>
          <w:rFonts w:cs="Times New Roman"/>
          <w:color w:val="000000"/>
          <w:sz w:val="21"/>
          <w:szCs w:val="21"/>
        </w:rPr>
      </w:pPr>
      <w:r>
        <w:rPr>
          <w:rFonts w:hint="eastAsia" w:cs="Times New Roman"/>
          <w:color w:val="000000"/>
          <w:sz w:val="21"/>
          <w:szCs w:val="21"/>
        </w:rPr>
        <w:t>招标代理机构：广西桂林华禹水利水电工程咨询有限公司</w:t>
      </w:r>
    </w:p>
    <w:p>
      <w:pPr>
        <w:pStyle w:val="3"/>
        <w:shd w:val="clear" w:color="auto" w:fill="FFFFFF"/>
        <w:spacing w:before="0" w:beforeAutospacing="0" w:after="0" w:afterAutospacing="0" w:line="420" w:lineRule="exact"/>
        <w:ind w:firstLine="420"/>
        <w:jc w:val="both"/>
        <w:rPr>
          <w:rFonts w:cs="Times New Roman"/>
          <w:color w:val="000000"/>
          <w:sz w:val="21"/>
          <w:szCs w:val="21"/>
        </w:rPr>
      </w:pPr>
      <w:r>
        <w:rPr>
          <w:rFonts w:hint="eastAsia" w:cs="Times New Roman"/>
          <w:color w:val="000000"/>
          <w:sz w:val="21"/>
          <w:szCs w:val="21"/>
        </w:rPr>
        <w:t>联系人：黄小姐</w:t>
      </w:r>
    </w:p>
    <w:p>
      <w:pPr>
        <w:pStyle w:val="3"/>
        <w:shd w:val="clear" w:color="auto" w:fill="FFFFFF"/>
        <w:spacing w:before="0" w:beforeAutospacing="0" w:after="0" w:afterAutospacing="0" w:line="420" w:lineRule="exact"/>
        <w:ind w:firstLine="420"/>
        <w:jc w:val="both"/>
        <w:rPr>
          <w:rFonts w:cs="Times New Roman"/>
          <w:color w:val="000000"/>
          <w:sz w:val="21"/>
          <w:szCs w:val="21"/>
        </w:rPr>
      </w:pPr>
      <w:r>
        <w:rPr>
          <w:rFonts w:hint="eastAsia" w:cs="Times New Roman"/>
          <w:color w:val="000000"/>
          <w:sz w:val="21"/>
          <w:szCs w:val="21"/>
        </w:rPr>
        <w:t>联系电话：</w:t>
      </w:r>
      <w:r>
        <w:rPr>
          <w:rFonts w:cs="Times New Roman"/>
          <w:color w:val="000000"/>
          <w:sz w:val="21"/>
          <w:szCs w:val="21"/>
        </w:rPr>
        <w:t>18677608807</w:t>
      </w:r>
    </w:p>
    <w:p>
      <w:pPr>
        <w:pStyle w:val="3"/>
        <w:shd w:val="clear" w:color="auto" w:fill="FFFFFF"/>
        <w:spacing w:before="0" w:beforeAutospacing="0" w:after="0" w:afterAutospacing="0" w:line="420" w:lineRule="exact"/>
        <w:ind w:firstLine="420"/>
        <w:jc w:val="both"/>
        <w:rPr>
          <w:rStyle w:val="7"/>
          <w:color w:val="000000"/>
          <w:sz w:val="21"/>
          <w:szCs w:val="21"/>
        </w:rPr>
      </w:pPr>
      <w:r>
        <w:rPr>
          <w:rFonts w:hint="eastAsia" w:cs="Times New Roman"/>
          <w:color w:val="000000"/>
          <w:sz w:val="21"/>
          <w:szCs w:val="21"/>
        </w:rPr>
        <w:t>传真：</w:t>
      </w:r>
      <w:r>
        <w:rPr>
          <w:rFonts w:cs="Times New Roman"/>
          <w:color w:val="000000"/>
          <w:sz w:val="21"/>
          <w:szCs w:val="21"/>
        </w:rPr>
        <w:t>0776-2852698</w:t>
      </w:r>
    </w:p>
    <w:p>
      <w:pPr>
        <w:pStyle w:val="3"/>
        <w:shd w:val="clear" w:color="auto" w:fill="FFFFFF"/>
        <w:spacing w:before="0" w:beforeAutospacing="0" w:after="0" w:afterAutospacing="0" w:line="420" w:lineRule="exact"/>
        <w:jc w:val="both"/>
      </w:pPr>
    </w:p>
    <w:p>
      <w:pPr>
        <w:pStyle w:val="3"/>
        <w:shd w:val="clear" w:color="auto" w:fill="FFFFFF"/>
        <w:spacing w:before="0" w:beforeAutospacing="0" w:after="0" w:afterAutospacing="0" w:line="420" w:lineRule="exact"/>
        <w:jc w:val="both"/>
        <w:rPr>
          <w:rFonts w:cs="Times New Roman"/>
          <w:color w:val="000000"/>
        </w:rPr>
      </w:pPr>
      <w:r>
        <w:rPr>
          <w:rFonts w:hint="eastAsia"/>
        </w:rPr>
        <w:t xml:space="preserve">                     </w:t>
      </w:r>
    </w:p>
    <w:p>
      <w:pPr>
        <w:spacing w:line="420" w:lineRule="exact"/>
        <w:rPr>
          <w:sz w:val="24"/>
        </w:rPr>
      </w:pPr>
      <w:r>
        <w:rPr>
          <w:sz w:val="24"/>
        </w:rPr>
        <w:t xml:space="preserve">  </w:t>
      </w:r>
      <w:r>
        <w:rPr>
          <w:color w:val="000000"/>
        </w:rPr>
        <w:t> </w:t>
      </w:r>
      <w:r>
        <w:rPr>
          <w:rFonts w:hint="eastAsia"/>
          <w:sz w:val="24"/>
        </w:rPr>
        <w:t xml:space="preserve">                                  </w:t>
      </w:r>
      <w:r>
        <w:rPr>
          <w:rFonts w:hint="eastAsia"/>
          <w:szCs w:val="21"/>
        </w:rPr>
        <w:t>广西桂林华禹水利水电工程咨询有限公司</w:t>
      </w:r>
    </w:p>
    <w:p>
      <w:pPr>
        <w:spacing w:line="420" w:lineRule="exact"/>
        <w:ind w:left="6240" w:right="-512" w:rightChars="-244" w:hanging="6240" w:hangingChars="2600"/>
        <w:jc w:val="left"/>
        <w:rPr>
          <w:szCs w:val="21"/>
        </w:rPr>
      </w:pPr>
      <w:r>
        <w:rPr>
          <w:sz w:val="24"/>
        </w:rPr>
        <w:t xml:space="preserve">     </w:t>
      </w:r>
      <w:r>
        <w:rPr>
          <w:rFonts w:hint="eastAsia"/>
          <w:szCs w:val="21"/>
        </w:rPr>
        <w:t xml:space="preserve">                                                </w:t>
      </w:r>
      <w:r>
        <w:rPr>
          <w:szCs w:val="21"/>
        </w:rPr>
        <w:t>2016</w:t>
      </w:r>
      <w:r>
        <w:rPr>
          <w:rFonts w:hint="eastAsia"/>
          <w:szCs w:val="21"/>
        </w:rPr>
        <w:t>年4 月   20  日</w:t>
      </w:r>
      <w:r>
        <w:rPr>
          <w:szCs w:val="21"/>
        </w:rPr>
        <w:t xml:space="preserve">  </w:t>
      </w:r>
    </w:p>
    <w:p>
      <w:pPr>
        <w:spacing w:line="420" w:lineRule="exact"/>
        <w:ind w:left="5460" w:right="-512" w:rightChars="-244" w:hanging="5460" w:hangingChars="2600"/>
        <w:jc w:val="left"/>
        <w:rPr>
          <w:szCs w:val="21"/>
        </w:rPr>
      </w:pPr>
    </w:p>
    <w:p>
      <w:pPr>
        <w:spacing w:line="420" w:lineRule="exact"/>
        <w:ind w:left="5460" w:right="-512" w:rightChars="-244" w:hanging="5460" w:hangingChars="2600"/>
        <w:jc w:val="left"/>
        <w:rPr>
          <w:szCs w:val="21"/>
        </w:rPr>
      </w:pPr>
    </w:p>
    <w:p>
      <w:pPr>
        <w:spacing w:line="420" w:lineRule="exact"/>
        <w:ind w:left="5460" w:right="-512" w:rightChars="-244" w:hanging="5460" w:hangingChars="2600"/>
        <w:jc w:val="left"/>
        <w:rPr>
          <w:szCs w:val="21"/>
        </w:rPr>
      </w:pPr>
    </w:p>
    <w:p>
      <w:pPr>
        <w:spacing w:line="420" w:lineRule="exact"/>
        <w:ind w:left="5460" w:right="-512" w:rightChars="-244" w:hanging="5460" w:hangingChars="2600"/>
        <w:jc w:val="left"/>
        <w:rPr>
          <w:szCs w:val="21"/>
        </w:rPr>
      </w:pPr>
    </w:p>
    <w:p>
      <w:pPr>
        <w:spacing w:line="420" w:lineRule="exact"/>
        <w:ind w:left="5460" w:right="-512" w:rightChars="-244" w:hanging="5460" w:hangingChars="2600"/>
        <w:jc w:val="left"/>
        <w:rPr>
          <w:szCs w:val="21"/>
        </w:rPr>
      </w:pPr>
    </w:p>
    <w:p>
      <w:pPr>
        <w:spacing w:line="420" w:lineRule="exact"/>
        <w:ind w:left="5460" w:right="-512" w:rightChars="-244" w:hanging="5460" w:hangingChars="2600"/>
        <w:jc w:val="left"/>
        <w:rPr>
          <w:szCs w:val="21"/>
        </w:rPr>
      </w:pPr>
    </w:p>
    <w:p>
      <w:pPr>
        <w:spacing w:line="420" w:lineRule="exact"/>
        <w:rPr>
          <w:b/>
          <w:sz w:val="24"/>
        </w:rPr>
      </w:pPr>
    </w:p>
    <w:p>
      <w:pPr>
        <w:spacing w:line="420" w:lineRule="exact"/>
        <w:ind w:firstLine="482" w:firstLineChars="200"/>
        <w:rPr>
          <w:b/>
          <w:sz w:val="24"/>
        </w:rPr>
      </w:pPr>
    </w:p>
    <w:p>
      <w:pPr>
        <w:spacing w:line="220" w:lineRule="atLeast"/>
        <w:jc w:val="center"/>
        <w:rPr>
          <w:b/>
          <w:sz w:val="24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18C9"/>
    <w:rsid w:val="0003548F"/>
    <w:rsid w:val="00080ED1"/>
    <w:rsid w:val="000F6C3D"/>
    <w:rsid w:val="001A52CD"/>
    <w:rsid w:val="003C0385"/>
    <w:rsid w:val="004E57CA"/>
    <w:rsid w:val="005923D4"/>
    <w:rsid w:val="005D052E"/>
    <w:rsid w:val="00600A5C"/>
    <w:rsid w:val="006C18C9"/>
    <w:rsid w:val="00C217AC"/>
    <w:rsid w:val="00D22ADE"/>
    <w:rsid w:val="00E11D4F"/>
    <w:rsid w:val="417C75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99"/>
    <w:pPr>
      <w:jc w:val="center"/>
    </w:pPr>
    <w:rPr>
      <w:sz w:val="24"/>
    </w:rPr>
  </w:style>
  <w:style w:type="paragraph" w:styleId="3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basedOn w:val="4"/>
    <w:qFormat/>
    <w:uiPriority w:val="99"/>
    <w:rPr>
      <w:rFonts w:cs="Times New Roman"/>
      <w:color w:val="0000FF"/>
      <w:u w:val="single"/>
    </w:rPr>
  </w:style>
  <w:style w:type="character" w:customStyle="1" w:styleId="7">
    <w:name w:val="apple-converted-space"/>
    <w:basedOn w:val="4"/>
    <w:qFormat/>
    <w:uiPriority w:val="99"/>
    <w:rPr>
      <w:rFonts w:cs="Times New Roman"/>
    </w:rPr>
  </w:style>
  <w:style w:type="character" w:customStyle="1" w:styleId="8">
    <w:name w:val="正文文本 Char"/>
    <w:basedOn w:val="4"/>
    <w:link w:val="2"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9">
    <w:name w:val="正文文本 Char1"/>
    <w:basedOn w:val="4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461</Words>
  <Characters>2632</Characters>
  <Lines>21</Lines>
  <Paragraphs>6</Paragraphs>
  <TotalTime>0</TotalTime>
  <ScaleCrop>false</ScaleCrop>
  <LinksUpToDate>false</LinksUpToDate>
  <CharactersWithSpaces>3087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2011-05-25T11:31:00Z</dcterms:created>
  <dc:creator>hq</dc:creator>
  <cp:lastModifiedBy>Administrator</cp:lastModifiedBy>
  <cp:lastPrinted>2011-05-25T11:54:00Z</cp:lastPrinted>
  <dcterms:modified xsi:type="dcterms:W3CDTF">2016-04-20T02:11:16Z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