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11" w:rsidRPr="003F0F82" w:rsidRDefault="007C74CD" w:rsidP="003F0F82">
      <w:pPr>
        <w:spacing w:line="240" w:lineRule="atLeast"/>
        <w:jc w:val="center"/>
        <w:rPr>
          <w:rFonts w:ascii="黑体" w:eastAsia="黑体" w:hint="eastAsia"/>
          <w:sz w:val="32"/>
          <w:szCs w:val="32"/>
        </w:rPr>
      </w:pPr>
      <w:r w:rsidRPr="003F0F82">
        <w:rPr>
          <w:rFonts w:ascii="黑体" w:eastAsia="黑体" w:hint="eastAsia"/>
          <w:sz w:val="32"/>
          <w:szCs w:val="32"/>
        </w:rPr>
        <w:t>南京</w:t>
      </w:r>
      <w:r w:rsidR="001200C7" w:rsidRPr="003F0F82">
        <w:rPr>
          <w:rFonts w:ascii="黑体" w:eastAsia="黑体" w:hint="eastAsia"/>
          <w:sz w:val="32"/>
          <w:szCs w:val="32"/>
        </w:rPr>
        <w:t>宝色股份公司</w:t>
      </w:r>
      <w:r w:rsidR="006175D9" w:rsidRPr="003F0F82">
        <w:rPr>
          <w:rFonts w:ascii="黑体" w:eastAsia="黑体" w:hint="eastAsia"/>
          <w:sz w:val="32"/>
          <w:szCs w:val="32"/>
        </w:rPr>
        <w:t>表面</w:t>
      </w:r>
      <w:r w:rsidR="001200C7" w:rsidRPr="003F0F82">
        <w:rPr>
          <w:rFonts w:ascii="黑体" w:eastAsia="黑体" w:hint="eastAsia"/>
          <w:sz w:val="32"/>
          <w:szCs w:val="32"/>
        </w:rPr>
        <w:t>废水处理</w:t>
      </w:r>
      <w:r w:rsidR="009A56B2">
        <w:rPr>
          <w:rFonts w:ascii="黑体" w:eastAsia="黑体" w:hint="eastAsia"/>
          <w:sz w:val="32"/>
          <w:szCs w:val="32"/>
        </w:rPr>
        <w:t>设备</w:t>
      </w:r>
      <w:r w:rsidR="001200C7" w:rsidRPr="003F0F82">
        <w:rPr>
          <w:rFonts w:ascii="黑体" w:eastAsia="黑体" w:hint="eastAsia"/>
          <w:sz w:val="32"/>
          <w:szCs w:val="32"/>
        </w:rPr>
        <w:t>工程</w:t>
      </w:r>
    </w:p>
    <w:p w:rsidR="001200C7" w:rsidRPr="003F0F82" w:rsidRDefault="00A02E2E" w:rsidP="003F0F82">
      <w:pPr>
        <w:spacing w:line="240" w:lineRule="atLeast"/>
        <w:jc w:val="center"/>
        <w:rPr>
          <w:rFonts w:ascii="黑体" w:eastAsia="黑体" w:hint="eastAsia"/>
          <w:sz w:val="32"/>
          <w:szCs w:val="32"/>
        </w:rPr>
      </w:pPr>
      <w:r w:rsidRPr="003F0F82">
        <w:rPr>
          <w:rFonts w:ascii="黑体" w:eastAsia="黑体" w:hint="eastAsia"/>
          <w:sz w:val="32"/>
          <w:szCs w:val="32"/>
        </w:rPr>
        <w:t>技术指标及要求</w:t>
      </w:r>
    </w:p>
    <w:p w:rsidR="001200C7" w:rsidRDefault="001200C7" w:rsidP="001200C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一、项目概况</w:t>
      </w:r>
    </w:p>
    <w:p w:rsidR="001200C7" w:rsidRDefault="007C74CD" w:rsidP="007C74C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南京宝色股份公司</w:t>
      </w:r>
      <w:r w:rsidRPr="007C74CD">
        <w:rPr>
          <w:rFonts w:hint="eastAsia"/>
          <w:sz w:val="24"/>
        </w:rPr>
        <w:t>建设钛、镍、锆等材料装备制造生产厂区项目</w:t>
      </w:r>
      <w:r w:rsidR="001946D0">
        <w:rPr>
          <w:rFonts w:hint="eastAsia"/>
          <w:sz w:val="24"/>
        </w:rPr>
        <w:t>，该项目</w:t>
      </w:r>
      <w:r w:rsidR="001200C7">
        <w:rPr>
          <w:rFonts w:hint="eastAsia"/>
          <w:sz w:val="24"/>
        </w:rPr>
        <w:t>占地面积</w:t>
      </w:r>
      <w:r w:rsidR="001200C7" w:rsidRPr="00A536D2">
        <w:rPr>
          <w:rFonts w:hint="eastAsia"/>
          <w:sz w:val="24"/>
        </w:rPr>
        <w:t>299</w:t>
      </w:r>
      <w:r w:rsidR="001200C7" w:rsidRPr="00A536D2">
        <w:rPr>
          <w:rFonts w:hint="eastAsia"/>
          <w:sz w:val="24"/>
        </w:rPr>
        <w:t>亩，拟分二期建设。一期</w:t>
      </w:r>
      <w:r w:rsidR="001946D0">
        <w:rPr>
          <w:rFonts w:hint="eastAsia"/>
          <w:sz w:val="24"/>
        </w:rPr>
        <w:t>建设项目为超限装备制造厂房项目，</w:t>
      </w:r>
      <w:r w:rsidR="001200C7" w:rsidRPr="00A536D2">
        <w:rPr>
          <w:rFonts w:hint="eastAsia"/>
          <w:sz w:val="24"/>
        </w:rPr>
        <w:t>总投资约</w:t>
      </w:r>
      <w:r w:rsidR="001200C7" w:rsidRPr="001946D0">
        <w:rPr>
          <w:rFonts w:hint="eastAsia"/>
          <w:sz w:val="24"/>
        </w:rPr>
        <w:softHyphen/>
        <w:t>1.2</w:t>
      </w:r>
      <w:r w:rsidR="001200C7" w:rsidRPr="00A536D2">
        <w:rPr>
          <w:rFonts w:hint="eastAsia"/>
          <w:sz w:val="24"/>
        </w:rPr>
        <w:t>亿元，年产值将达到</w:t>
      </w:r>
      <w:r w:rsidR="001200C7" w:rsidRPr="00A536D2">
        <w:rPr>
          <w:rFonts w:hint="eastAsia"/>
          <w:sz w:val="24"/>
        </w:rPr>
        <w:t>3</w:t>
      </w:r>
      <w:r w:rsidR="001200C7" w:rsidRPr="00A536D2">
        <w:rPr>
          <w:rFonts w:hint="eastAsia"/>
          <w:sz w:val="24"/>
        </w:rPr>
        <w:t>亿元。二期工程主要建设重型厂房，具备重型设备生产能力。项目建成后主要生产压力容器设备和石油、化工、冶金等行业的压力容器产品。</w:t>
      </w:r>
    </w:p>
    <w:p w:rsidR="001200C7" w:rsidRDefault="001946D0" w:rsidP="001200C7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目前一期超限装备制造厂房项目已建设完成，由于</w:t>
      </w:r>
      <w:r w:rsidR="001200C7">
        <w:rPr>
          <w:rFonts w:hint="eastAsia"/>
          <w:sz w:val="24"/>
        </w:rPr>
        <w:t>生产车间生产过程中</w:t>
      </w:r>
      <w:r>
        <w:rPr>
          <w:rFonts w:hint="eastAsia"/>
          <w:sz w:val="24"/>
        </w:rPr>
        <w:t>会</w:t>
      </w:r>
      <w:r w:rsidR="001200C7">
        <w:rPr>
          <w:rFonts w:hint="eastAsia"/>
          <w:sz w:val="24"/>
        </w:rPr>
        <w:t>产生大量废水，包括酸洗冲洗废水、钝化冲洗水、车间冲洗水等，废水水量大，呈酸性，</w:t>
      </w:r>
      <w:r w:rsidR="001200C7">
        <w:rPr>
          <w:rFonts w:hint="eastAsia"/>
          <w:sz w:val="24"/>
        </w:rPr>
        <w:t>SS</w:t>
      </w:r>
      <w:r w:rsidR="001200C7">
        <w:rPr>
          <w:rFonts w:hint="eastAsia"/>
          <w:sz w:val="24"/>
        </w:rPr>
        <w:t>高，不可以直接纳管，会对污水处理厂造成冲击，我公司需</w:t>
      </w:r>
      <w:r w:rsidR="00012411">
        <w:rPr>
          <w:rFonts w:hint="eastAsia"/>
          <w:sz w:val="24"/>
        </w:rPr>
        <w:t>要由专业的污水处理公司</w:t>
      </w:r>
      <w:r w:rsidR="001200C7">
        <w:rPr>
          <w:rFonts w:hint="eastAsia"/>
          <w:sz w:val="24"/>
        </w:rPr>
        <w:t>设计</w:t>
      </w:r>
      <w:r w:rsidR="00012411">
        <w:rPr>
          <w:rFonts w:hint="eastAsia"/>
          <w:sz w:val="24"/>
        </w:rPr>
        <w:t>并</w:t>
      </w:r>
      <w:r>
        <w:rPr>
          <w:rFonts w:hint="eastAsia"/>
          <w:sz w:val="24"/>
        </w:rPr>
        <w:t>建设</w:t>
      </w:r>
      <w:r w:rsidR="001200C7">
        <w:rPr>
          <w:rFonts w:hint="eastAsia"/>
          <w:sz w:val="24"/>
        </w:rPr>
        <w:t>一套污水处理</w:t>
      </w:r>
      <w:r>
        <w:rPr>
          <w:rFonts w:hint="eastAsia"/>
          <w:sz w:val="24"/>
        </w:rPr>
        <w:t>设备</w:t>
      </w:r>
      <w:r w:rsidR="001200C7">
        <w:rPr>
          <w:rFonts w:hint="eastAsia"/>
          <w:sz w:val="24"/>
        </w:rPr>
        <w:t>，将生产废水处理至《污水综合排放标准》（</w:t>
      </w:r>
      <w:r w:rsidR="001200C7">
        <w:rPr>
          <w:rFonts w:hint="eastAsia"/>
          <w:sz w:val="24"/>
        </w:rPr>
        <w:t>GB8978</w:t>
      </w:r>
      <w:r w:rsidR="001200C7">
        <w:rPr>
          <w:rFonts w:hint="eastAsia"/>
          <w:sz w:val="24"/>
        </w:rPr>
        <w:t>－</w:t>
      </w:r>
      <w:r w:rsidR="001200C7">
        <w:rPr>
          <w:rFonts w:hint="eastAsia"/>
          <w:sz w:val="24"/>
        </w:rPr>
        <w:t>1996</w:t>
      </w:r>
      <w:r w:rsidR="001200C7">
        <w:rPr>
          <w:rFonts w:hint="eastAsia"/>
          <w:sz w:val="24"/>
        </w:rPr>
        <w:t>）三级标准后纳管。</w:t>
      </w:r>
    </w:p>
    <w:p w:rsidR="001200C7" w:rsidRDefault="001200C7" w:rsidP="001200C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二、技术指标及要求</w:t>
      </w:r>
    </w:p>
    <w:p w:rsidR="001200C7" w:rsidRDefault="001200C7">
      <w:r>
        <w:rPr>
          <w:rFonts w:hint="eastAsia"/>
        </w:rPr>
        <w:t>1</w:t>
      </w:r>
      <w:r>
        <w:rPr>
          <w:rFonts w:hint="eastAsia"/>
        </w:rPr>
        <w:t>、设计采用的指标和技术标准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《室外排水设计规范》</w:t>
      </w:r>
      <w:r>
        <w:rPr>
          <w:sz w:val="24"/>
        </w:rPr>
        <w:t xml:space="preserve">                    GB50014-2006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rFonts w:hint="eastAsia"/>
          <w:sz w:val="24"/>
        </w:rPr>
      </w:pPr>
      <w:r>
        <w:rPr>
          <w:rFonts w:hint="eastAsia"/>
          <w:sz w:val="24"/>
        </w:rPr>
        <w:t>《污水综合排放标准》</w:t>
      </w:r>
      <w:r>
        <w:rPr>
          <w:rFonts w:hint="eastAsia"/>
          <w:sz w:val="24"/>
        </w:rPr>
        <w:t xml:space="preserve">                    GB8978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1996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《给水排水设计手册</w:t>
      </w:r>
      <w:r>
        <w:rPr>
          <w:sz w:val="24"/>
        </w:rPr>
        <w:t>1-12</w:t>
      </w:r>
      <w:r>
        <w:rPr>
          <w:rFonts w:hint="eastAsia"/>
          <w:sz w:val="24"/>
        </w:rPr>
        <w:t>册》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第二版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《给水排水管道工程施工及验收规范》</w:t>
      </w:r>
      <w:r>
        <w:rPr>
          <w:sz w:val="24"/>
        </w:rPr>
        <w:t xml:space="preserve">        GB50268-97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《市政排水管渠工程质量检查评定标准》</w:t>
      </w:r>
      <w:r>
        <w:rPr>
          <w:sz w:val="24"/>
        </w:rPr>
        <w:t xml:space="preserve">          CJJ3-90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《建筑给水排水设计规范》</w:t>
      </w:r>
      <w:r>
        <w:rPr>
          <w:sz w:val="24"/>
        </w:rPr>
        <w:t xml:space="preserve">               GBJ50015-2003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《建筑结构荷载规范》</w:t>
      </w:r>
      <w:r>
        <w:rPr>
          <w:sz w:val="24"/>
        </w:rPr>
        <w:t xml:space="preserve">                     GB5009-2001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《给水排水工程构筑物设计规范》</w:t>
      </w:r>
      <w:r>
        <w:rPr>
          <w:sz w:val="24"/>
        </w:rPr>
        <w:t xml:space="preserve">          GB50069-2002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《混凝土结构设计规范》</w:t>
      </w:r>
      <w:r>
        <w:rPr>
          <w:sz w:val="24"/>
        </w:rPr>
        <w:t xml:space="preserve">                  GB50010-2002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《建筑地基基础设计规范》</w:t>
      </w:r>
      <w:r>
        <w:rPr>
          <w:sz w:val="24"/>
        </w:rPr>
        <w:t xml:space="preserve">                GB50007-2002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《地基基础设计规范》</w:t>
      </w:r>
      <w:r>
        <w:rPr>
          <w:sz w:val="24"/>
        </w:rPr>
        <w:t xml:space="preserve">                   DBJ</w:t>
      </w:r>
      <w:smartTag w:uri="urn:schemas-microsoft-com:office:smarttags" w:element="chsdate">
        <w:smartTagPr>
          <w:attr w:name="Year" w:val="1999"/>
          <w:attr w:name="Month" w:val="8"/>
          <w:attr w:name="Day" w:val="11"/>
          <w:attr w:name="IsLunarDate" w:val="False"/>
          <w:attr w:name="IsROCDate" w:val="False"/>
        </w:smartTagPr>
        <w:r>
          <w:rPr>
            <w:sz w:val="24"/>
          </w:rPr>
          <w:t>08-11-1999</w:t>
        </w:r>
      </w:smartTag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《构筑物抗震设计规范》</w:t>
      </w:r>
      <w:r>
        <w:rPr>
          <w:sz w:val="24"/>
        </w:rPr>
        <w:t xml:space="preserve">                    GB50191-93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《工业企业设计卫生标准》</w:t>
      </w:r>
      <w:r>
        <w:rPr>
          <w:sz w:val="24"/>
        </w:rPr>
        <w:t xml:space="preserve">                  GBZ1-2002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《供配电系统设计规范》</w:t>
      </w:r>
      <w:r>
        <w:rPr>
          <w:sz w:val="24"/>
        </w:rPr>
        <w:t xml:space="preserve">                    GB50052-95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lastRenderedPageBreak/>
        <w:t>《低压配电装置及线路设计规范》</w:t>
      </w:r>
      <w:r>
        <w:rPr>
          <w:sz w:val="24"/>
        </w:rPr>
        <w:t xml:space="preserve">            GB50054-95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《建筑物防雷设计规范》</w:t>
      </w:r>
      <w:r>
        <w:rPr>
          <w:sz w:val="24"/>
        </w:rPr>
        <w:t xml:space="preserve">         GB50057-94</w:t>
      </w:r>
      <w:r>
        <w:rPr>
          <w:rFonts w:hint="eastAsia"/>
          <w:sz w:val="24"/>
        </w:rPr>
        <w:t>（</w:t>
      </w:r>
      <w:r>
        <w:rPr>
          <w:sz w:val="24"/>
        </w:rPr>
        <w:t>2000</w:t>
      </w:r>
      <w:r>
        <w:rPr>
          <w:rFonts w:hint="eastAsia"/>
          <w:sz w:val="24"/>
        </w:rPr>
        <w:t>年版）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《工业与民用电力装置的接地设计规范》</w:t>
      </w:r>
      <w:r>
        <w:rPr>
          <w:sz w:val="24"/>
        </w:rPr>
        <w:t xml:space="preserve">        GBJ65-83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《仪表供电设计规定》</w:t>
      </w:r>
      <w:r>
        <w:rPr>
          <w:sz w:val="24"/>
        </w:rPr>
        <w:t xml:space="preserve">                  HG/T20509-2000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sz w:val="24"/>
        </w:rPr>
      </w:pPr>
      <w:r>
        <w:rPr>
          <w:rFonts w:hint="eastAsia"/>
          <w:sz w:val="24"/>
        </w:rPr>
        <w:t>《仪表系统接地设计规定》</w:t>
      </w:r>
      <w:r>
        <w:rPr>
          <w:sz w:val="24"/>
        </w:rPr>
        <w:t xml:space="preserve">              HG/T20513-2000</w:t>
      </w:r>
    </w:p>
    <w:p w:rsidR="001200C7" w:rsidRDefault="001200C7" w:rsidP="001200C7">
      <w:pPr>
        <w:pStyle w:val="NormalIndent"/>
        <w:numPr>
          <w:ilvl w:val="0"/>
          <w:numId w:val="1"/>
        </w:numPr>
        <w:spacing w:line="360" w:lineRule="auto"/>
        <w:ind w:leftChars="257" w:left="691" w:hangingChars="63" w:hanging="151"/>
        <w:rPr>
          <w:rFonts w:hint="eastAsia"/>
          <w:sz w:val="24"/>
        </w:rPr>
      </w:pPr>
      <w:r>
        <w:rPr>
          <w:rFonts w:hint="eastAsia"/>
          <w:sz w:val="24"/>
        </w:rPr>
        <w:t>《其它相关标准》</w:t>
      </w:r>
      <w:r>
        <w:rPr>
          <w:rFonts w:hint="eastAsia"/>
          <w:sz w:val="24"/>
        </w:rPr>
        <w:t xml:space="preserve"> </w:t>
      </w:r>
    </w:p>
    <w:p w:rsidR="001200C7" w:rsidRDefault="001200C7" w:rsidP="001200C7">
      <w:pPr>
        <w:pStyle w:val="NormalIndent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、设计范围</w:t>
      </w:r>
    </w:p>
    <w:p w:rsidR="001200C7" w:rsidRDefault="001200C7" w:rsidP="001200C7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本污水处理工程方案设计包括污水处理工艺、机电设备、电气、仪表（含计量、分析仪表）和自动化控制系统。</w:t>
      </w:r>
    </w:p>
    <w:p w:rsidR="001200C7" w:rsidRPr="00A02E2E" w:rsidRDefault="00A02E2E" w:rsidP="00A02E2E">
      <w:pPr>
        <w:pStyle w:val="NormalIndent"/>
        <w:spacing w:line="360" w:lineRule="auto"/>
        <w:ind w:firstLineChars="0" w:firstLine="0"/>
        <w:rPr>
          <w:sz w:val="24"/>
        </w:rPr>
      </w:pPr>
      <w:r w:rsidRPr="00A02E2E">
        <w:rPr>
          <w:rFonts w:hint="eastAsia"/>
          <w:sz w:val="24"/>
        </w:rPr>
        <w:t>3</w:t>
      </w:r>
      <w:r w:rsidRPr="00A02E2E">
        <w:rPr>
          <w:rFonts w:hint="eastAsia"/>
          <w:sz w:val="24"/>
        </w:rPr>
        <w:t>、设计要求</w:t>
      </w:r>
    </w:p>
    <w:p w:rsidR="00A02E2E" w:rsidRPr="00A02E2E" w:rsidRDefault="00A02E2E" w:rsidP="00A02E2E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9426BE">
        <w:rPr>
          <w:rFonts w:hint="eastAsia"/>
          <w:sz w:val="24"/>
          <w:szCs w:val="24"/>
        </w:rPr>
        <w:t>酸洗废水年产生量为</w:t>
      </w:r>
      <w:r w:rsidR="009426BE">
        <w:rPr>
          <w:rFonts w:hint="eastAsia"/>
          <w:sz w:val="24"/>
          <w:szCs w:val="24"/>
        </w:rPr>
        <w:t xml:space="preserve"> </w:t>
      </w:r>
      <w:r w:rsidR="009426BE" w:rsidRPr="009426BE">
        <w:rPr>
          <w:rFonts w:hint="eastAsia"/>
          <w:sz w:val="24"/>
          <w:szCs w:val="24"/>
        </w:rPr>
        <w:t>648</w:t>
      </w:r>
      <w:r w:rsidR="009426BE">
        <w:rPr>
          <w:rFonts w:hint="eastAsia"/>
          <w:sz w:val="24"/>
          <w:szCs w:val="24"/>
        </w:rPr>
        <w:t xml:space="preserve"> t/a</w:t>
      </w:r>
      <w:r w:rsidR="009426BE">
        <w:rPr>
          <w:rFonts w:hint="eastAsia"/>
          <w:sz w:val="24"/>
          <w:szCs w:val="24"/>
        </w:rPr>
        <w:t>，按一年工作</w:t>
      </w:r>
      <w:r w:rsidR="009426BE">
        <w:rPr>
          <w:rFonts w:hint="eastAsia"/>
          <w:sz w:val="24"/>
          <w:szCs w:val="24"/>
        </w:rPr>
        <w:t>260</w:t>
      </w:r>
      <w:r w:rsidR="009426BE">
        <w:rPr>
          <w:rFonts w:hint="eastAsia"/>
          <w:sz w:val="24"/>
          <w:szCs w:val="24"/>
        </w:rPr>
        <w:t>天计算，日平均产生量</w:t>
      </w:r>
      <w:r w:rsidR="009426BE">
        <w:rPr>
          <w:rFonts w:hint="eastAsia"/>
          <w:sz w:val="24"/>
          <w:szCs w:val="24"/>
        </w:rPr>
        <w:t>2.5 t/d</w:t>
      </w:r>
      <w:r w:rsidR="009426BE">
        <w:rPr>
          <w:rFonts w:hint="eastAsia"/>
          <w:sz w:val="24"/>
          <w:szCs w:val="24"/>
        </w:rPr>
        <w:t>。</w:t>
      </w:r>
      <w:r w:rsidR="005B50F3">
        <w:rPr>
          <w:rFonts w:hint="eastAsia"/>
          <w:sz w:val="24"/>
          <w:szCs w:val="24"/>
        </w:rPr>
        <w:t>每次处理量按照</w:t>
      </w:r>
      <w:r w:rsidR="005B50F3">
        <w:rPr>
          <w:rFonts w:hint="eastAsia"/>
          <w:sz w:val="24"/>
          <w:szCs w:val="24"/>
        </w:rPr>
        <w:t>8</w:t>
      </w:r>
      <w:r w:rsidR="005B50F3">
        <w:rPr>
          <w:rFonts w:hint="eastAsia"/>
          <w:sz w:val="24"/>
          <w:szCs w:val="24"/>
        </w:rPr>
        <w:t>吨（调节池）考虑，</w:t>
      </w:r>
      <w:r w:rsidRPr="00A02E2E">
        <w:rPr>
          <w:rFonts w:hint="eastAsia"/>
          <w:sz w:val="24"/>
        </w:rPr>
        <w:t>预处理后废水汇集至收集池，混合废水水质水量如下：</w:t>
      </w:r>
    </w:p>
    <w:p w:rsidR="00A02E2E" w:rsidRPr="00A02E2E" w:rsidRDefault="00A02E2E" w:rsidP="00A02E2E">
      <w:pPr>
        <w:spacing w:line="360" w:lineRule="auto"/>
        <w:rPr>
          <w:rFonts w:hint="eastAsia"/>
          <w:sz w:val="24"/>
        </w:rPr>
      </w:pPr>
      <w:r w:rsidRPr="00A02E2E">
        <w:rPr>
          <w:rFonts w:hint="eastAsia"/>
          <w:sz w:val="24"/>
        </w:rPr>
        <w:t xml:space="preserve">    </w:t>
      </w:r>
      <w:r w:rsidRPr="00A02E2E">
        <w:rPr>
          <w:rFonts w:hint="eastAsia"/>
          <w:sz w:val="24"/>
        </w:rPr>
        <w:t>设计处理水量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3"/>
        </w:smartTagPr>
        <w:r w:rsidR="009426BE">
          <w:rPr>
            <w:rFonts w:hint="eastAsia"/>
            <w:sz w:val="24"/>
            <w:szCs w:val="24"/>
          </w:rPr>
          <w:t>1m</w:t>
        </w:r>
        <w:r w:rsidR="009426BE">
          <w:rPr>
            <w:rFonts w:hint="eastAsia"/>
            <w:sz w:val="24"/>
            <w:szCs w:val="24"/>
            <w:vertAlign w:val="superscript"/>
          </w:rPr>
          <w:t>3</w:t>
        </w:r>
      </w:smartTag>
      <w:r w:rsidR="009426BE">
        <w:rPr>
          <w:rFonts w:hint="eastAsia"/>
          <w:sz w:val="24"/>
          <w:szCs w:val="24"/>
        </w:rPr>
        <w:t>/h</w:t>
      </w:r>
    </w:p>
    <w:p w:rsidR="00A02E2E" w:rsidRPr="00A02E2E" w:rsidRDefault="00A02E2E" w:rsidP="00A02E2E">
      <w:pPr>
        <w:spacing w:line="360" w:lineRule="auto"/>
        <w:jc w:val="left"/>
        <w:rPr>
          <w:rFonts w:hint="eastAsia"/>
          <w:sz w:val="24"/>
        </w:rPr>
      </w:pPr>
      <w:r w:rsidRPr="00A02E2E">
        <w:rPr>
          <w:rFonts w:hint="eastAsia"/>
          <w:sz w:val="24"/>
        </w:rPr>
        <w:t xml:space="preserve">    </w:t>
      </w:r>
      <w:r w:rsidRPr="00A02E2E">
        <w:rPr>
          <w:rFonts w:hint="eastAsia"/>
          <w:sz w:val="24"/>
        </w:rPr>
        <w:t>设计进水水质：</w:t>
      </w:r>
      <w:r w:rsidRPr="00A02E2E">
        <w:rPr>
          <w:sz w:val="24"/>
        </w:rPr>
        <w:t>COD</w:t>
      </w:r>
      <w:r w:rsidRPr="00A02E2E">
        <w:rPr>
          <w:rFonts w:hint="eastAsia"/>
          <w:sz w:val="24"/>
        </w:rPr>
        <w:t>cr</w:t>
      </w:r>
      <w:r w:rsidRPr="00A02E2E">
        <w:rPr>
          <w:rFonts w:hint="eastAsia"/>
          <w:sz w:val="24"/>
        </w:rPr>
        <w:t>：</w:t>
      </w:r>
      <w:r w:rsidRPr="00A02E2E">
        <w:rPr>
          <w:rFonts w:hint="eastAsia"/>
          <w:sz w:val="24"/>
        </w:rPr>
        <w:t>150~3</w:t>
      </w:r>
      <w:r w:rsidRPr="00A02E2E">
        <w:rPr>
          <w:sz w:val="24"/>
        </w:rPr>
        <w:t>0</w:t>
      </w:r>
      <w:r w:rsidRPr="00A02E2E">
        <w:rPr>
          <w:rFonts w:hint="eastAsia"/>
          <w:sz w:val="24"/>
        </w:rPr>
        <w:t>0</w:t>
      </w:r>
      <w:r w:rsidRPr="00A02E2E">
        <w:rPr>
          <w:sz w:val="24"/>
        </w:rPr>
        <w:t>mg/L</w:t>
      </w:r>
      <w:r w:rsidR="009426BE">
        <w:rPr>
          <w:rFonts w:hint="eastAsia"/>
          <w:sz w:val="24"/>
        </w:rPr>
        <w:t>、</w:t>
      </w:r>
      <w:r w:rsidRPr="00A02E2E">
        <w:rPr>
          <w:rFonts w:hint="eastAsia"/>
          <w:sz w:val="24"/>
        </w:rPr>
        <w:t>p</w:t>
      </w:r>
      <w:r w:rsidRPr="00A02E2E">
        <w:rPr>
          <w:sz w:val="24"/>
        </w:rPr>
        <w:t>H</w:t>
      </w:r>
      <w:r w:rsidRPr="00A02E2E">
        <w:rPr>
          <w:rFonts w:hint="eastAsia"/>
          <w:sz w:val="24"/>
        </w:rPr>
        <w:t>:4</w:t>
      </w:r>
      <w:r w:rsidRPr="00A02E2E">
        <w:rPr>
          <w:rFonts w:hint="eastAsia"/>
          <w:sz w:val="24"/>
        </w:rPr>
        <w:t>～</w:t>
      </w:r>
      <w:r w:rsidRPr="00A02E2E">
        <w:rPr>
          <w:rFonts w:hint="eastAsia"/>
          <w:sz w:val="24"/>
        </w:rPr>
        <w:t>5</w:t>
      </w:r>
      <w:r w:rsidR="009426BE">
        <w:rPr>
          <w:rFonts w:hint="eastAsia"/>
          <w:sz w:val="24"/>
        </w:rPr>
        <w:t>、</w:t>
      </w:r>
      <w:r w:rsidRPr="00A02E2E">
        <w:rPr>
          <w:rFonts w:hint="eastAsia"/>
          <w:sz w:val="24"/>
        </w:rPr>
        <w:t>SS</w:t>
      </w:r>
      <w:r w:rsidRPr="00A02E2E">
        <w:rPr>
          <w:rFonts w:hint="eastAsia"/>
          <w:sz w:val="24"/>
        </w:rPr>
        <w:t>≤</w:t>
      </w:r>
      <w:r w:rsidRPr="00A02E2E">
        <w:rPr>
          <w:rFonts w:hint="eastAsia"/>
          <w:sz w:val="24"/>
        </w:rPr>
        <w:t>200</w:t>
      </w:r>
      <w:r w:rsidRPr="00A02E2E">
        <w:rPr>
          <w:sz w:val="24"/>
        </w:rPr>
        <w:t>mg/L</w:t>
      </w:r>
      <w:r w:rsidR="009426BE">
        <w:rPr>
          <w:rFonts w:hint="eastAsia"/>
          <w:sz w:val="24"/>
        </w:rPr>
        <w:t>、</w:t>
      </w:r>
      <w:r w:rsidRPr="00A02E2E">
        <w:rPr>
          <w:rFonts w:hint="eastAsia"/>
          <w:sz w:val="24"/>
        </w:rPr>
        <w:t>氟化物≤</w:t>
      </w:r>
      <w:r w:rsidRPr="00A02E2E">
        <w:rPr>
          <w:rFonts w:hint="eastAsia"/>
          <w:sz w:val="24"/>
        </w:rPr>
        <w:t>1</w:t>
      </w:r>
      <w:r w:rsidRPr="00A02E2E">
        <w:rPr>
          <w:sz w:val="24"/>
        </w:rPr>
        <w:t>mg/L</w:t>
      </w:r>
      <w:r w:rsidRPr="00A02E2E">
        <w:rPr>
          <w:rFonts w:hint="eastAsia"/>
          <w:sz w:val="24"/>
        </w:rPr>
        <w:t xml:space="preserve"> </w:t>
      </w:r>
      <w:r w:rsidR="009426BE">
        <w:rPr>
          <w:rFonts w:hint="eastAsia"/>
          <w:sz w:val="24"/>
        </w:rPr>
        <w:t xml:space="preserve"> </w:t>
      </w:r>
    </w:p>
    <w:p w:rsidR="00A02E2E" w:rsidRDefault="00A02E2E" w:rsidP="00A02E2E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）处理后出水达到</w:t>
      </w:r>
      <w:r>
        <w:rPr>
          <w:rFonts w:hint="eastAsia"/>
          <w:bCs/>
          <w:sz w:val="24"/>
        </w:rPr>
        <w:t>《污水综合排放标准》（</w:t>
      </w:r>
      <w:r>
        <w:rPr>
          <w:rFonts w:hint="eastAsia"/>
          <w:bCs/>
          <w:sz w:val="24"/>
        </w:rPr>
        <w:t>GB8978-1996</w:t>
      </w:r>
      <w:r>
        <w:rPr>
          <w:rFonts w:hint="eastAsia"/>
          <w:bCs/>
          <w:sz w:val="24"/>
        </w:rPr>
        <w:t>）中三级排放标准：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3052"/>
        <w:gridCol w:w="2505"/>
      </w:tblGrid>
      <w:tr w:rsidR="00A02E2E" w:rsidTr="0038029D">
        <w:trPr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水</w:t>
            </w:r>
          </w:p>
        </w:tc>
      </w:tr>
      <w:tr w:rsidR="00A02E2E" w:rsidTr="0038029D">
        <w:trPr>
          <w:cantSplit/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COD (mg/l)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500</w:t>
            </w:r>
          </w:p>
        </w:tc>
      </w:tr>
      <w:tr w:rsidR="00A02E2E" w:rsidTr="0038029D">
        <w:trPr>
          <w:cantSplit/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BOD (mg/l)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300</w:t>
            </w:r>
          </w:p>
        </w:tc>
      </w:tr>
      <w:tr w:rsidR="00A02E2E" w:rsidTr="0038029D">
        <w:trPr>
          <w:cantSplit/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SS (mg/l)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400</w:t>
            </w:r>
          </w:p>
        </w:tc>
      </w:tr>
      <w:tr w:rsidR="00A02E2E" w:rsidTr="0038029D">
        <w:trPr>
          <w:cantSplit/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氟化物</w:t>
            </w:r>
            <w:r>
              <w:rPr>
                <w:szCs w:val="21"/>
              </w:rPr>
              <w:t>(mg/l)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A02E2E" w:rsidTr="0038029D">
        <w:trPr>
          <w:cantSplit/>
          <w:trHeight w:hRule="exact" w:val="397"/>
          <w:jc w:val="center"/>
        </w:trPr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 w:rsidR="00A02E2E" w:rsidRDefault="00A02E2E" w:rsidP="00380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</w:tr>
    </w:tbl>
    <w:p w:rsidR="00A536D2" w:rsidRDefault="00A536D2" w:rsidP="00A536D2">
      <w:pPr>
        <w:pStyle w:val="NormalIndent"/>
        <w:tabs>
          <w:tab w:val="left" w:pos="900"/>
          <w:tab w:val="left" w:pos="1455"/>
        </w:tabs>
        <w:spacing w:line="360" w:lineRule="auto"/>
        <w:ind w:firstLineChars="0" w:firstLine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三、污水处理原则</w:t>
      </w:r>
    </w:p>
    <w:p w:rsidR="00A536D2" w:rsidRPr="002D1437" w:rsidRDefault="005004AB" w:rsidP="005004AB">
      <w:pPr>
        <w:pStyle w:val="NormalIndent"/>
        <w:tabs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 w:rsidRPr="002D1437">
        <w:rPr>
          <w:sz w:val="24"/>
        </w:rPr>
        <w:t>1</w:t>
      </w:r>
      <w:r w:rsidR="00A536D2" w:rsidRPr="002D1437">
        <w:rPr>
          <w:rFonts w:hint="eastAsia"/>
          <w:sz w:val="24"/>
        </w:rPr>
        <w:t>）贯彻国家关于环境保护的基本国策，执行国家的相关法规、政策、规范和标准；</w:t>
      </w:r>
    </w:p>
    <w:p w:rsidR="00A536D2" w:rsidRDefault="005004AB" w:rsidP="005004AB">
      <w:pPr>
        <w:pStyle w:val="NormalIndent"/>
        <w:tabs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 w:rsidRPr="002D1437">
        <w:rPr>
          <w:sz w:val="24"/>
        </w:rPr>
        <w:t>2</w:t>
      </w:r>
      <w:r w:rsidR="00A536D2" w:rsidRPr="002D1437">
        <w:rPr>
          <w:rFonts w:hint="eastAsia"/>
          <w:sz w:val="24"/>
        </w:rPr>
        <w:t>）污水处理站作为环保工程，设计中尽量减少污水处理站本身对环境的负面影响，如气味、噪音、</w:t>
      </w:r>
      <w:r w:rsidR="00A536D2">
        <w:rPr>
          <w:rFonts w:hint="eastAsia"/>
          <w:sz w:val="24"/>
        </w:rPr>
        <w:t>固体废弃物等；</w:t>
      </w:r>
    </w:p>
    <w:p w:rsidR="00A536D2" w:rsidRDefault="005004AB" w:rsidP="005004AB">
      <w:pPr>
        <w:pStyle w:val="NormalIndent"/>
        <w:tabs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3</w:t>
      </w:r>
      <w:r w:rsidR="00A536D2">
        <w:rPr>
          <w:rFonts w:hint="eastAsia"/>
          <w:sz w:val="24"/>
        </w:rPr>
        <w:t>）在污水处理厂平面布置和</w:t>
      </w:r>
      <w:r w:rsidR="007C74CD">
        <w:rPr>
          <w:rFonts w:hint="eastAsia"/>
          <w:sz w:val="24"/>
        </w:rPr>
        <w:t>工</w:t>
      </w:r>
      <w:r w:rsidR="00A536D2">
        <w:rPr>
          <w:rFonts w:hint="eastAsia"/>
          <w:sz w:val="24"/>
        </w:rPr>
        <w:t>程设计中，充分考虑建设工程的协调和整体</w:t>
      </w:r>
      <w:r w:rsidR="00A536D2">
        <w:rPr>
          <w:rFonts w:hint="eastAsia"/>
          <w:sz w:val="24"/>
        </w:rPr>
        <w:lastRenderedPageBreak/>
        <w:t>性，避免重复工程和废弃工程。平面布置上按平行布置相结合和使用功能分区的原则，保证厂区内环境质量；</w:t>
      </w:r>
    </w:p>
    <w:p w:rsidR="00A536D2" w:rsidRDefault="005004AB" w:rsidP="005004AB">
      <w:pPr>
        <w:pStyle w:val="NormalIndent"/>
        <w:tabs>
          <w:tab w:val="left" w:pos="432"/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4</w:t>
      </w:r>
      <w:r w:rsidR="00A536D2">
        <w:rPr>
          <w:rFonts w:hint="eastAsia"/>
          <w:sz w:val="24"/>
        </w:rPr>
        <w:t>）污水处理工艺的选择必须根据原水水质与水量，受纳水体的环境容量与利用情况，综合考虑当地的实际情况，通过经济技术比较优先采用低能耗、低运行费用、低基建费用、占地少、操作管理方便成熟的处理工艺；</w:t>
      </w:r>
    </w:p>
    <w:p w:rsidR="00A536D2" w:rsidRDefault="005004AB" w:rsidP="005004AB">
      <w:pPr>
        <w:pStyle w:val="NormalIndent"/>
        <w:tabs>
          <w:tab w:val="left" w:pos="432"/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5</w:t>
      </w:r>
      <w:r w:rsidR="00A536D2">
        <w:rPr>
          <w:rFonts w:hint="eastAsia"/>
          <w:sz w:val="24"/>
        </w:rPr>
        <w:t>）积极慎重地采用经过鉴定或实践证明行之有效的新技术、新工艺、新材料和新设备。出水水质达到排放标准；</w:t>
      </w:r>
    </w:p>
    <w:p w:rsidR="00A536D2" w:rsidRDefault="005004AB" w:rsidP="005004AB">
      <w:pPr>
        <w:pStyle w:val="NormalIndent"/>
        <w:tabs>
          <w:tab w:val="left" w:pos="432"/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6</w:t>
      </w:r>
      <w:r w:rsidR="00A536D2">
        <w:rPr>
          <w:rFonts w:hint="eastAsia"/>
          <w:sz w:val="24"/>
        </w:rPr>
        <w:t>）污水处理设备、仪表选用首先立足于国内，对目前暂不能生产或关键部位的产品考虑适当引进；</w:t>
      </w:r>
    </w:p>
    <w:p w:rsidR="00A536D2" w:rsidRDefault="005004AB" w:rsidP="005004AB">
      <w:pPr>
        <w:pStyle w:val="NormalIndent"/>
        <w:tabs>
          <w:tab w:val="left" w:pos="432"/>
          <w:tab w:val="left" w:pos="90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7</w:t>
      </w:r>
      <w:r w:rsidR="00A536D2">
        <w:rPr>
          <w:rFonts w:hint="eastAsia"/>
          <w:sz w:val="24"/>
        </w:rPr>
        <w:t>）污水站总平面布置力求紧凑，设备摆放整齐紧凑，减少占地和投资费用，注意环境设计，营造优美的厂区环境；</w:t>
      </w:r>
    </w:p>
    <w:p w:rsidR="00A536D2" w:rsidRDefault="005004AB" w:rsidP="005004AB">
      <w:pPr>
        <w:pStyle w:val="NormalIndent"/>
        <w:tabs>
          <w:tab w:val="left" w:pos="432"/>
          <w:tab w:val="left" w:pos="108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8</w:t>
      </w:r>
      <w:r w:rsidR="00A536D2">
        <w:rPr>
          <w:rFonts w:hint="eastAsia"/>
          <w:sz w:val="24"/>
        </w:rPr>
        <w:t>）以人为本，充分考虑便于污水厂运行管理的措施；</w:t>
      </w:r>
    </w:p>
    <w:p w:rsidR="00A536D2" w:rsidRDefault="005004AB" w:rsidP="005004AB">
      <w:pPr>
        <w:pStyle w:val="NormalIndent"/>
        <w:tabs>
          <w:tab w:val="left" w:pos="432"/>
          <w:tab w:val="left" w:pos="1080"/>
          <w:tab w:val="left" w:pos="1455"/>
        </w:tabs>
        <w:spacing w:line="360" w:lineRule="auto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536D2">
        <w:rPr>
          <w:sz w:val="24"/>
        </w:rPr>
        <w:t>9</w:t>
      </w:r>
      <w:r w:rsidR="00A536D2">
        <w:rPr>
          <w:rFonts w:hint="eastAsia"/>
          <w:sz w:val="24"/>
        </w:rPr>
        <w:t>）污水站的劳动组织、劳动定员、环境保护和安全卫生均严格按照国家和地方的有关规定；</w:t>
      </w:r>
    </w:p>
    <w:p w:rsidR="001200C7" w:rsidRPr="00A536D2" w:rsidRDefault="005004AB" w:rsidP="005004AB">
      <w:pPr>
        <w:pStyle w:val="NormalIndent"/>
        <w:tabs>
          <w:tab w:val="left" w:pos="432"/>
          <w:tab w:val="left" w:pos="1080"/>
          <w:tab w:val="left" w:pos="1455"/>
        </w:tabs>
        <w:spacing w:line="360" w:lineRule="auto"/>
        <w:ind w:firstLineChars="150" w:firstLine="360"/>
        <w:jc w:val="left"/>
        <w:rPr>
          <w:rFonts w:hint="eastAsia"/>
          <w:sz w:val="24"/>
        </w:rPr>
        <w:sectPr w:rsidR="001200C7" w:rsidRPr="00A536D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sz w:val="24"/>
        </w:rPr>
        <w:t>（</w:t>
      </w:r>
      <w:r w:rsidR="00A536D2">
        <w:rPr>
          <w:sz w:val="24"/>
        </w:rPr>
        <w:t>10</w:t>
      </w:r>
      <w:r w:rsidR="00A536D2">
        <w:rPr>
          <w:rFonts w:hint="eastAsia"/>
          <w:sz w:val="24"/>
        </w:rPr>
        <w:t>）设备设施配置合理，根据污水处理工艺要求，对不同功能的设施针对性的选用设备，并按设备的重要性设置合理备用。</w:t>
      </w:r>
    </w:p>
    <w:p w:rsidR="005A58A6" w:rsidRPr="00A536D2" w:rsidRDefault="005A58A6" w:rsidP="001200C7"/>
    <w:sectPr w:rsidR="005A58A6" w:rsidRPr="00A5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A6" w:rsidRDefault="005A58A6" w:rsidP="001200C7">
      <w:r>
        <w:separator/>
      </w:r>
    </w:p>
  </w:endnote>
  <w:endnote w:type="continuationSeparator" w:id="1">
    <w:p w:rsidR="005A58A6" w:rsidRDefault="005A58A6" w:rsidP="0012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A6" w:rsidRDefault="005A58A6" w:rsidP="001200C7">
      <w:r>
        <w:separator/>
      </w:r>
    </w:p>
  </w:footnote>
  <w:footnote w:type="continuationSeparator" w:id="1">
    <w:p w:rsidR="005A58A6" w:rsidRDefault="005A58A6" w:rsidP="00120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ascii="Cambria" w:eastAsia="(使用中文字体)" w:hAnsi="Cambria" w:cs="Cambria"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Cambria"/>
      </w:r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840"/>
      </w:pPr>
      <w:rPr>
        <w:rFonts w:cs="Cambria"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Cambria"/>
      </w:r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Cambria"/>
      </w:r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Cambria"/>
      </w:r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ambria" w:hint="eastAsia"/>
      </w:rPr>
    </w:lvl>
    <w:lvl w:ilvl="1">
      <w:start w:val="1"/>
      <w:numFmt w:val="decimal"/>
      <w:lvlText w:val="%1.%2"/>
      <w:lvlJc w:val="left"/>
      <w:pPr>
        <w:tabs>
          <w:tab w:val="num" w:pos="1711"/>
        </w:tabs>
        <w:ind w:left="1711" w:hanging="576"/>
      </w:pPr>
      <w:rPr>
        <w:rFonts w:cs="Cambria" w:hint="eastAsia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Cambria" w:hint="eastAsia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cs="Cambria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Cambri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ambria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ambria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ambria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ambria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0C7"/>
    <w:rsid w:val="00012411"/>
    <w:rsid w:val="001200C7"/>
    <w:rsid w:val="001946D0"/>
    <w:rsid w:val="002C0BCE"/>
    <w:rsid w:val="003F0F82"/>
    <w:rsid w:val="005004AB"/>
    <w:rsid w:val="005A58A6"/>
    <w:rsid w:val="005B50F3"/>
    <w:rsid w:val="006175D9"/>
    <w:rsid w:val="007C74CD"/>
    <w:rsid w:val="009426BE"/>
    <w:rsid w:val="009A56B2"/>
    <w:rsid w:val="00A02E2E"/>
    <w:rsid w:val="00A5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C7"/>
    <w:pPr>
      <w:widowControl w:val="0"/>
      <w:jc w:val="both"/>
    </w:pPr>
    <w:rPr>
      <w:rFonts w:ascii="Cambria" w:eastAsia="(使用中文字体)" w:hAnsi="Cambria" w:cs="Cambria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A536D2"/>
    <w:pPr>
      <w:keepNext/>
      <w:keepLines/>
      <w:numPr>
        <w:ilvl w:val="1"/>
        <w:numId w:val="1"/>
      </w:numPr>
      <w:tabs>
        <w:tab w:val="left" w:pos="576"/>
      </w:tabs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0C7"/>
    <w:rPr>
      <w:sz w:val="18"/>
      <w:szCs w:val="18"/>
    </w:rPr>
  </w:style>
  <w:style w:type="paragraph" w:customStyle="1" w:styleId="NormalIndent">
    <w:name w:val="Normal Indent"/>
    <w:basedOn w:val="a"/>
    <w:rsid w:val="001200C7"/>
    <w:pPr>
      <w:ind w:firstLineChars="200" w:firstLine="560"/>
    </w:pPr>
    <w:rPr>
      <w:sz w:val="28"/>
      <w:szCs w:val="24"/>
    </w:rPr>
  </w:style>
  <w:style w:type="character" w:customStyle="1" w:styleId="2Char">
    <w:name w:val="标题 2 Char"/>
    <w:basedOn w:val="a0"/>
    <w:link w:val="2"/>
    <w:uiPriority w:val="9"/>
    <w:rsid w:val="00A536D2"/>
    <w:rPr>
      <w:rFonts w:ascii="Times New Roman" w:eastAsia="(使用中文字体)" w:hAnsi="Times New Roman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2016-05-09T01:22:00Z</dcterms:created>
  <dcterms:modified xsi:type="dcterms:W3CDTF">2016-05-09T04:57:00Z</dcterms:modified>
</cp:coreProperties>
</file>