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186"/>
        <w:gridCol w:w="5930"/>
        <w:gridCol w:w="546"/>
        <w:gridCol w:w="47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货物名称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竞争性谈判技术参数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数量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单位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循环水泵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Q=50m3,H=19m,5.5kw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n=2900r/min,进出口设有阀门、隔震软接头，出水端设有压力表和静音止回阀，底座配置减震装置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毛发过滤器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400，进口DN150，出口DN100，进出口接口与循环水泵配套，快开式设计，外壳为不锈钢，带视窗，带放气阀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不锈钢过滤器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立式罐</w:t>
            </w:r>
            <w:r>
              <w:rPr>
                <w:rFonts w:hint="eastAsia" w:ascii="宋体" w:hAnsi="宋体" w:cs="宋体"/>
                <w:kern w:val="0"/>
                <w:sz w:val="24"/>
              </w:rPr>
              <w:t>Q1600×1800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滤透：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25m/h，过滤面积2.0㎡，单台处理量Q=50m³/h，材质优质不锈钢，设计压力0.6Mpa，滤料采用优质天然石英海沙0.5~1.0mm，反冲洗强度12-15L/s.㎡，反冲洗时间5~7min，有效滤料层厚度不小于700mm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絮凝剂加药装置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COPCO223絮凝剂投药泵选型参数Q=23L/h，H=1.5bar，含200L加药桶PE材质，搅拌机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消毒剂加药装置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COPCO223絮凝剂投药泵选型参数Q=23L/h，H=1.5bar，含200L加药桶PE材质，搅拌机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调整剂加药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装置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COPCO223絮凝剂投药泵选型参数Q=23L/h，H=1.5bar，含200L加药桶PE材质，搅拌机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水质检测仪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可对PH值、余氯实现实时监控，可连续监测，显示和记录池水PH、余氯量的功能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管道、阀门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UPVC材质，达到饮用水标准，压力1.0Mpa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电控柜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按需设计制作，箱体采用冷轧钢板，三相五线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安装调试费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20" w:line="4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包含电缆、桥架、角铁、槽钢、标准件、小五金、油漆等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Cs w:val="21"/>
              </w:rPr>
              <w:t>谈判响应人的谈判响应文件必须标明所投货物的品牌与参数，保证原厂正品供货，提供相关资料等。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泳池设备安装过程中土建改造部</w:t>
            </w:r>
            <w:r>
              <w:rPr>
                <w:rFonts w:hint="eastAsia" w:ascii="宋体" w:hAnsi="宋体"/>
                <w:b/>
                <w:szCs w:val="21"/>
              </w:rPr>
              <w:t>分，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投标人需自行现场勘测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本次采购谈判最高限价：人民币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贰拾肆万柒仟叁佰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元整（￥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247300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.00元）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3977"/>
    <w:rsid w:val="6CB03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2016-07-25T03:38:00Z</dcterms:created>
  <dc:creator>Administrator</dc:creator>
  <cp:lastModifiedBy>Administrator</cp:lastModifiedBy>
  <dcterms:modified xsi:type="dcterms:W3CDTF">2016-07-25T03:39:26Z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