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jc w:val="center"/>
        <w:rPr>
          <w:rFonts w:ascii="Arial" w:hAnsi="Arial" w:cs="宋体"/>
          <w:b/>
          <w:bCs/>
          <w:sz w:val="28"/>
          <w:szCs w:val="28"/>
        </w:rPr>
      </w:pPr>
      <w:r>
        <w:rPr>
          <w:rFonts w:hint="eastAsia" w:ascii="Arial" w:hAnsi="Arial" w:cs="宋体"/>
          <w:b/>
          <w:bCs/>
          <w:sz w:val="28"/>
          <w:szCs w:val="28"/>
        </w:rPr>
        <w:t>银盘水电站退水和生活污水水质监测服务</w:t>
      </w:r>
    </w:p>
    <w:p>
      <w:pPr>
        <w:tabs>
          <w:tab w:val="left" w:pos="8280"/>
        </w:tabs>
        <w:spacing w:line="360" w:lineRule="auto"/>
        <w:jc w:val="center"/>
        <w:rPr>
          <w:rFonts w:ascii="Arial" w:hAnsi="Arial" w:cs="宋体"/>
          <w:b/>
          <w:bCs/>
          <w:sz w:val="28"/>
          <w:szCs w:val="28"/>
        </w:rPr>
      </w:pPr>
      <w:r>
        <w:rPr>
          <w:rFonts w:hint="eastAsia" w:ascii="Arial" w:hAnsi="Arial" w:cs="宋体"/>
          <w:b/>
          <w:bCs/>
          <w:sz w:val="28"/>
          <w:szCs w:val="28"/>
        </w:rPr>
        <w:t>招标公告</w:t>
      </w:r>
      <w:r>
        <w:rPr>
          <w:rFonts w:hint="eastAsia" w:ascii="Arial" w:hAnsi="Arial" w:cs="宋体"/>
          <w:b/>
          <w:bCs/>
          <w:sz w:val="28"/>
          <w:szCs w:val="28"/>
          <w:lang w:eastAsia="zh-CN"/>
        </w:rPr>
        <w:t>（二次</w:t>
      </w:r>
      <w:bookmarkStart w:id="36" w:name="_GoBack"/>
      <w:bookmarkEnd w:id="36"/>
      <w:r>
        <w:rPr>
          <w:rFonts w:hint="eastAsia" w:ascii="Arial" w:hAnsi="Arial" w:cs="宋体"/>
          <w:b/>
          <w:bCs/>
          <w:sz w:val="28"/>
          <w:szCs w:val="28"/>
          <w:lang w:eastAsia="zh-CN"/>
        </w:rPr>
        <w:t>）</w:t>
      </w:r>
    </w:p>
    <w:p>
      <w:pPr>
        <w:pStyle w:val="3"/>
        <w:adjustRightInd w:val="0"/>
        <w:snapToGrid w:val="0"/>
        <w:spacing w:after="0"/>
        <w:rPr>
          <w:sz w:val="21"/>
          <w:szCs w:val="20"/>
          <w:lang w:bidi="he-IL"/>
        </w:rPr>
      </w:pPr>
      <w:bookmarkStart w:id="0" w:name="_Toc332640095"/>
      <w:bookmarkStart w:id="1" w:name="_Toc438116675"/>
      <w:bookmarkStart w:id="2" w:name="_Toc472668928"/>
      <w:bookmarkStart w:id="3" w:name="_Toc408682806"/>
      <w:r>
        <w:rPr>
          <w:rFonts w:hint="eastAsia"/>
          <w:bCs w:val="0"/>
          <w:snapToGrid w:val="0"/>
          <w:sz w:val="28"/>
          <w:szCs w:val="28"/>
          <w:lang w:val="en-US" w:eastAsia="zh-CN"/>
        </w:rPr>
        <w:t>1、 基本情况</w:t>
      </w:r>
    </w:p>
    <w:p>
      <w:pPr>
        <w:spacing w:line="360" w:lineRule="auto"/>
        <w:ind w:firstLine="420" w:firstLineChars="200"/>
        <w:rPr>
          <w:rFonts w:hint="eastAsia" w:ascii="宋体" w:hAnsi="宋体" w:cs="宋体"/>
          <w:szCs w:val="21"/>
        </w:rPr>
      </w:pPr>
      <w:r>
        <w:rPr>
          <w:rFonts w:hint="eastAsia" w:ascii="宋体" w:hAnsi="宋体" w:cs="宋体"/>
          <w:szCs w:val="21"/>
        </w:rPr>
        <w:t xml:space="preserve">1.1  标的名称：银盘水电站退水和生活污水水质监测服务                             </w:t>
      </w:r>
    </w:p>
    <w:p>
      <w:pPr>
        <w:spacing w:line="360" w:lineRule="auto"/>
        <w:ind w:firstLine="420" w:firstLineChars="200"/>
        <w:rPr>
          <w:rFonts w:hint="eastAsia" w:ascii="宋体" w:hAnsi="宋体" w:cs="宋体"/>
          <w:szCs w:val="21"/>
        </w:rPr>
      </w:pPr>
      <w:r>
        <w:rPr>
          <w:rFonts w:hint="eastAsia" w:ascii="宋体" w:hAnsi="宋体" w:cs="宋体"/>
          <w:szCs w:val="21"/>
        </w:rPr>
        <w:t>1.2  资金来源：招标人自筹。</w:t>
      </w:r>
    </w:p>
    <w:p>
      <w:pPr>
        <w:spacing w:line="360" w:lineRule="auto"/>
        <w:ind w:firstLine="420" w:firstLineChars="200"/>
        <w:rPr>
          <w:rFonts w:hint="eastAsia" w:ascii="宋体" w:hAnsi="宋体" w:cs="宋体"/>
          <w:szCs w:val="21"/>
        </w:rPr>
      </w:pPr>
      <w:r>
        <w:rPr>
          <w:rFonts w:hint="eastAsia" w:ascii="宋体" w:hAnsi="宋体" w:cs="宋体"/>
          <w:szCs w:val="21"/>
        </w:rPr>
        <w:t>1.3  建设地点：</w:t>
      </w:r>
      <w:r>
        <w:rPr>
          <w:rFonts w:hint="eastAsia"/>
          <w:color w:val="000000"/>
          <w:szCs w:val="21"/>
        </w:rPr>
        <w:t>重庆市武隆县江口镇银盘水电站</w:t>
      </w:r>
    </w:p>
    <w:p>
      <w:pPr>
        <w:spacing w:line="360" w:lineRule="auto"/>
        <w:ind w:firstLine="420" w:firstLineChars="200"/>
        <w:rPr>
          <w:rFonts w:hint="eastAsia" w:ascii="宋体" w:hAnsi="宋体" w:cs="宋体"/>
          <w:szCs w:val="21"/>
        </w:rPr>
      </w:pPr>
      <w:r>
        <w:rPr>
          <w:rFonts w:hint="eastAsia" w:ascii="宋体" w:hAnsi="宋体" w:cs="宋体"/>
          <w:szCs w:val="21"/>
        </w:rPr>
        <w:t>1.4  项目概况：银盘水电站位于乌江下游河段，坝址位于重庆市武隆县境内，电站装机</w:t>
      </w:r>
      <w:r>
        <w:rPr>
          <w:rFonts w:ascii="宋体" w:hAnsi="宋体" w:cs="宋体"/>
          <w:szCs w:val="21"/>
        </w:rPr>
        <w:t>600MW（4×150MW），机组采用轴流水轮发电机组。坝址控制流域面积74910km2，上游接彭水水电站，下游与规划的白马梯级衔接，为重庆市电网的骨干调峰电源彭水水电站的反调节梯级，与重庆电网负荷中心直线距离在160km以内，</w:t>
      </w:r>
      <w:r>
        <w:rPr>
          <w:rFonts w:hint="eastAsia" w:ascii="宋体" w:hAnsi="宋体" w:cs="宋体"/>
          <w:szCs w:val="21"/>
        </w:rPr>
        <w:t>由两</w:t>
      </w:r>
      <w:r>
        <w:rPr>
          <w:rFonts w:ascii="宋体" w:hAnsi="宋体" w:cs="宋体"/>
          <w:szCs w:val="21"/>
        </w:rPr>
        <w:t>回</w:t>
      </w:r>
      <w:r>
        <w:rPr>
          <w:rFonts w:hint="eastAsia" w:ascii="宋体" w:hAnsi="宋体" w:cs="宋体"/>
          <w:szCs w:val="21"/>
        </w:rPr>
        <w:t>220</w:t>
      </w:r>
      <w:r>
        <w:rPr>
          <w:rFonts w:ascii="宋体" w:hAnsi="宋体" w:cs="宋体"/>
          <w:szCs w:val="21"/>
        </w:rPr>
        <w:t>KV线路送入重庆电网</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建设规模：乌江银盘水电站4×161.25MW机组3年退水和生活污水水质监测服务。</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计划工期：自合同签订生效之日起3年。</w:t>
      </w:r>
    </w:p>
    <w:p>
      <w:pPr>
        <w:spacing w:line="360" w:lineRule="auto"/>
        <w:ind w:firstLine="420" w:firstLineChars="200"/>
        <w:rPr>
          <w:rFonts w:hint="eastAsia" w:ascii="宋体" w:hAnsi="宋体" w:cs="宋体"/>
          <w:szCs w:val="21"/>
        </w:rPr>
      </w:pPr>
      <w:r>
        <w:rPr>
          <w:rFonts w:hint="eastAsia" w:ascii="宋体" w:hAnsi="宋体" w:cs="宋体"/>
          <w:szCs w:val="21"/>
        </w:rPr>
        <w:t>1.5  招标人：重庆大唐国际武隆水电开发有限公司</w:t>
      </w:r>
    </w:p>
    <w:p>
      <w:pPr>
        <w:spacing w:line="360" w:lineRule="auto"/>
        <w:ind w:firstLine="420" w:firstLineChars="200"/>
        <w:rPr>
          <w:rFonts w:hint="eastAsia" w:ascii="宋体" w:hAnsi="宋体" w:cs="宋体"/>
          <w:szCs w:val="21"/>
        </w:rPr>
      </w:pPr>
      <w:r>
        <w:rPr>
          <w:rFonts w:hint="eastAsia" w:ascii="宋体" w:hAnsi="宋体" w:cs="宋体"/>
          <w:szCs w:val="21"/>
        </w:rPr>
        <w:t>1.6  招标代理机构：北京国电工程招标有限公司。</w:t>
      </w:r>
    </w:p>
    <w:p>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1.7 招标编号：CWEMEZN-CQ1</w:t>
      </w:r>
      <w:r>
        <w:rPr>
          <w:rFonts w:hint="eastAsia" w:ascii="宋体" w:hAnsi="宋体" w:cs="宋体"/>
          <w:szCs w:val="21"/>
          <w:lang w:val="en-US" w:eastAsia="zh-CN"/>
        </w:rPr>
        <w:t>7</w:t>
      </w:r>
      <w:r>
        <w:rPr>
          <w:rFonts w:hint="eastAsia" w:ascii="宋体" w:hAnsi="宋体" w:cs="宋体"/>
          <w:szCs w:val="21"/>
        </w:rPr>
        <w:t>-S</w:t>
      </w:r>
      <w:r>
        <w:rPr>
          <w:rFonts w:hint="eastAsia" w:ascii="宋体" w:hAnsi="宋体" w:cs="宋体"/>
          <w:szCs w:val="21"/>
          <w:lang w:val="en-US" w:eastAsia="zh-CN"/>
        </w:rPr>
        <w:t>009</w:t>
      </w:r>
    </w:p>
    <w:p>
      <w:pPr>
        <w:adjustRightInd w:val="0"/>
        <w:snapToGrid w:val="0"/>
        <w:spacing w:line="360" w:lineRule="auto"/>
        <w:ind w:firstLine="420" w:firstLineChars="200"/>
        <w:rPr>
          <w:rFonts w:hint="eastAsia"/>
          <w:bCs/>
        </w:rPr>
      </w:pPr>
      <w:r>
        <w:rPr>
          <w:rFonts w:hint="eastAsia" w:ascii="宋体" w:hAnsi="宋体" w:cs="宋体"/>
          <w:szCs w:val="21"/>
        </w:rPr>
        <w:t>1.8 招标范围：</w:t>
      </w:r>
    </w:p>
    <w:bookmarkEnd w:id="0"/>
    <w:bookmarkEnd w:id="1"/>
    <w:bookmarkEnd w:id="2"/>
    <w:tbl>
      <w:tblPr>
        <w:tblStyle w:val="7"/>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9"/>
        <w:gridCol w:w="837"/>
        <w:gridCol w:w="720"/>
        <w:gridCol w:w="1307"/>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widowControl/>
              <w:spacing w:line="460" w:lineRule="exact"/>
              <w:jc w:val="center"/>
              <w:rPr>
                <w:rFonts w:ascii="宋体" w:hAnsi="宋体"/>
                <w:color w:val="auto"/>
                <w:szCs w:val="21"/>
              </w:rPr>
            </w:pPr>
            <w:r>
              <w:rPr>
                <w:rFonts w:hint="eastAsia" w:ascii="宋体" w:hAnsi="宋体"/>
                <w:color w:val="auto"/>
                <w:szCs w:val="21"/>
              </w:rPr>
              <w:t>序号</w:t>
            </w:r>
          </w:p>
        </w:tc>
        <w:tc>
          <w:tcPr>
            <w:tcW w:w="1299" w:type="dxa"/>
            <w:vAlign w:val="center"/>
          </w:tcPr>
          <w:p>
            <w:pPr>
              <w:widowControl/>
              <w:spacing w:line="460" w:lineRule="exact"/>
              <w:jc w:val="center"/>
              <w:rPr>
                <w:rFonts w:ascii="宋体" w:hAnsi="宋体"/>
                <w:color w:val="auto"/>
                <w:szCs w:val="21"/>
              </w:rPr>
            </w:pPr>
            <w:r>
              <w:rPr>
                <w:rFonts w:hint="eastAsia" w:ascii="宋体" w:hAnsi="宋体"/>
                <w:color w:val="auto"/>
                <w:szCs w:val="21"/>
              </w:rPr>
              <w:t>采购内容</w:t>
            </w:r>
          </w:p>
        </w:tc>
        <w:tc>
          <w:tcPr>
            <w:tcW w:w="837" w:type="dxa"/>
            <w:vAlign w:val="center"/>
          </w:tcPr>
          <w:p>
            <w:pPr>
              <w:widowControl/>
              <w:spacing w:line="460" w:lineRule="exact"/>
              <w:jc w:val="center"/>
              <w:rPr>
                <w:rFonts w:ascii="宋体" w:hAnsi="宋体"/>
                <w:color w:val="auto"/>
                <w:szCs w:val="21"/>
              </w:rPr>
            </w:pPr>
            <w:r>
              <w:rPr>
                <w:rFonts w:hint="eastAsia" w:ascii="宋体" w:hAnsi="宋体"/>
                <w:color w:val="auto"/>
                <w:szCs w:val="21"/>
              </w:rPr>
              <w:t>单位</w:t>
            </w:r>
          </w:p>
        </w:tc>
        <w:tc>
          <w:tcPr>
            <w:tcW w:w="720" w:type="dxa"/>
            <w:vAlign w:val="center"/>
          </w:tcPr>
          <w:p>
            <w:pPr>
              <w:widowControl/>
              <w:spacing w:line="460" w:lineRule="exact"/>
              <w:jc w:val="center"/>
              <w:rPr>
                <w:rFonts w:ascii="宋体" w:hAnsi="宋体"/>
                <w:color w:val="auto"/>
                <w:szCs w:val="21"/>
              </w:rPr>
            </w:pPr>
            <w:r>
              <w:rPr>
                <w:rFonts w:hint="eastAsia" w:ascii="宋体" w:hAnsi="宋体"/>
                <w:color w:val="auto"/>
                <w:szCs w:val="21"/>
              </w:rPr>
              <w:t>数量</w:t>
            </w:r>
          </w:p>
        </w:tc>
        <w:tc>
          <w:tcPr>
            <w:tcW w:w="1307" w:type="dxa"/>
            <w:vAlign w:val="center"/>
          </w:tcPr>
          <w:p>
            <w:pPr>
              <w:widowControl/>
              <w:spacing w:line="460" w:lineRule="exact"/>
              <w:jc w:val="center"/>
              <w:rPr>
                <w:rFonts w:hint="eastAsia" w:ascii="宋体" w:hAnsi="宋体"/>
                <w:color w:val="auto"/>
                <w:szCs w:val="21"/>
              </w:rPr>
            </w:pPr>
            <w:r>
              <w:rPr>
                <w:rFonts w:hint="eastAsia" w:ascii="宋体" w:hAnsi="宋体"/>
                <w:color w:val="auto"/>
                <w:szCs w:val="21"/>
              </w:rPr>
              <w:t>服务期限</w:t>
            </w:r>
          </w:p>
        </w:tc>
        <w:tc>
          <w:tcPr>
            <w:tcW w:w="4851" w:type="dxa"/>
            <w:vAlign w:val="center"/>
          </w:tcPr>
          <w:p>
            <w:pPr>
              <w:widowControl/>
              <w:spacing w:line="46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75" w:type="dxa"/>
            <w:vMerge w:val="restart"/>
            <w:vAlign w:val="center"/>
          </w:tcPr>
          <w:p>
            <w:pPr>
              <w:widowControl/>
              <w:spacing w:line="460" w:lineRule="exact"/>
              <w:jc w:val="center"/>
              <w:rPr>
                <w:rFonts w:hint="eastAsia" w:ascii="宋体" w:hAnsi="宋体"/>
                <w:color w:val="auto"/>
                <w:szCs w:val="21"/>
              </w:rPr>
            </w:pPr>
            <w:r>
              <w:rPr>
                <w:rFonts w:hint="eastAsia" w:ascii="宋体" w:hAnsi="宋体"/>
                <w:color w:val="auto"/>
                <w:szCs w:val="21"/>
              </w:rPr>
              <w:t>1</w:t>
            </w:r>
          </w:p>
        </w:tc>
        <w:tc>
          <w:tcPr>
            <w:tcW w:w="1299" w:type="dxa"/>
            <w:vMerge w:val="restart"/>
            <w:vAlign w:val="center"/>
          </w:tcPr>
          <w:p>
            <w:pPr>
              <w:widowControl/>
              <w:spacing w:line="460" w:lineRule="exact"/>
              <w:rPr>
                <w:rFonts w:ascii="Arial" w:hAnsi="Arial" w:cs="Arial"/>
                <w:color w:val="auto"/>
                <w:szCs w:val="21"/>
              </w:rPr>
            </w:pPr>
            <w:r>
              <w:rPr>
                <w:rFonts w:hint="eastAsia" w:ascii="宋体" w:cs="宋体"/>
                <w:color w:val="auto"/>
                <w:kern w:val="0"/>
                <w:szCs w:val="21"/>
              </w:rPr>
              <w:t>银盘水电站退水和生活污水水质监测服务</w:t>
            </w:r>
          </w:p>
        </w:tc>
        <w:tc>
          <w:tcPr>
            <w:tcW w:w="837" w:type="dxa"/>
            <w:vMerge w:val="restart"/>
            <w:vAlign w:val="center"/>
          </w:tcPr>
          <w:p>
            <w:pPr>
              <w:widowControl/>
              <w:spacing w:line="460" w:lineRule="exact"/>
              <w:jc w:val="center"/>
              <w:rPr>
                <w:rFonts w:hint="eastAsia" w:ascii="宋体" w:hAnsi="宋体"/>
                <w:color w:val="auto"/>
                <w:szCs w:val="21"/>
              </w:rPr>
            </w:pPr>
            <w:r>
              <w:rPr>
                <w:rFonts w:hint="eastAsia" w:ascii="宋体" w:hAnsi="宋体"/>
                <w:color w:val="auto"/>
                <w:szCs w:val="21"/>
              </w:rPr>
              <w:t>项</w:t>
            </w:r>
          </w:p>
        </w:tc>
        <w:tc>
          <w:tcPr>
            <w:tcW w:w="720" w:type="dxa"/>
            <w:vMerge w:val="restart"/>
            <w:vAlign w:val="center"/>
          </w:tcPr>
          <w:p>
            <w:pPr>
              <w:widowControl/>
              <w:spacing w:line="460" w:lineRule="exact"/>
              <w:jc w:val="center"/>
              <w:rPr>
                <w:rFonts w:ascii="宋体" w:hAnsi="宋体"/>
                <w:color w:val="auto"/>
                <w:szCs w:val="21"/>
              </w:rPr>
            </w:pPr>
            <w:r>
              <w:rPr>
                <w:rFonts w:hint="eastAsia" w:ascii="宋体" w:hAnsi="宋体"/>
                <w:color w:val="auto"/>
                <w:szCs w:val="21"/>
              </w:rPr>
              <w:t>1</w:t>
            </w:r>
          </w:p>
        </w:tc>
        <w:tc>
          <w:tcPr>
            <w:tcW w:w="1307" w:type="dxa"/>
            <w:vMerge w:val="restart"/>
            <w:vAlign w:val="center"/>
          </w:tcPr>
          <w:p>
            <w:pPr>
              <w:widowControl/>
              <w:spacing w:line="460" w:lineRule="exact"/>
              <w:jc w:val="center"/>
              <w:rPr>
                <w:rFonts w:hint="eastAsia" w:ascii="Arial" w:hAnsi="Arial" w:cs="Arial"/>
                <w:color w:val="auto"/>
                <w:szCs w:val="21"/>
              </w:rPr>
            </w:pPr>
            <w:r>
              <w:rPr>
                <w:rFonts w:hint="eastAsia" w:ascii="Arial" w:hAnsi="Arial" w:cs="Arial"/>
                <w:color w:val="auto"/>
                <w:szCs w:val="21"/>
              </w:rPr>
              <w:t>3年</w:t>
            </w:r>
          </w:p>
        </w:tc>
        <w:tc>
          <w:tcPr>
            <w:tcW w:w="4851" w:type="dxa"/>
            <w:vAlign w:val="center"/>
          </w:tcPr>
          <w:p>
            <w:pPr>
              <w:rPr>
                <w:rFonts w:hint="eastAsia" w:ascii="宋体" w:cs="宋体"/>
                <w:color w:val="auto"/>
                <w:kern w:val="0"/>
                <w:szCs w:val="21"/>
              </w:rPr>
            </w:pPr>
            <w:r>
              <w:rPr>
                <w:rFonts w:hint="eastAsia" w:ascii="宋体" w:cs="宋体"/>
                <w:color w:val="auto"/>
                <w:kern w:val="0"/>
                <w:szCs w:val="21"/>
              </w:rPr>
              <w:t>1.退水监测点：</w:t>
            </w:r>
          </w:p>
          <w:p>
            <w:pPr>
              <w:rPr>
                <w:rFonts w:hint="eastAsia" w:ascii="宋体" w:cs="宋体"/>
                <w:color w:val="auto"/>
                <w:kern w:val="0"/>
                <w:szCs w:val="21"/>
              </w:rPr>
            </w:pPr>
            <w:r>
              <w:rPr>
                <w:rFonts w:hint="eastAsia" w:ascii="宋体" w:cs="宋体"/>
                <w:color w:val="auto"/>
                <w:kern w:val="0"/>
                <w:szCs w:val="21"/>
              </w:rPr>
              <w:t>大坝上游侧、大坝下游侧</w:t>
            </w:r>
          </w:p>
          <w:p>
            <w:pPr>
              <w:rPr>
                <w:rFonts w:hint="eastAsia" w:ascii="宋体" w:cs="宋体"/>
                <w:color w:val="auto"/>
                <w:kern w:val="0"/>
                <w:szCs w:val="21"/>
              </w:rPr>
            </w:pPr>
            <w:r>
              <w:rPr>
                <w:rFonts w:hint="eastAsia" w:ascii="宋体" w:cs="宋体"/>
                <w:color w:val="auto"/>
                <w:kern w:val="0"/>
                <w:szCs w:val="21"/>
              </w:rPr>
              <w:t>2.退水监测项目：</w:t>
            </w:r>
          </w:p>
          <w:p>
            <w:pPr>
              <w:rPr>
                <w:rFonts w:hint="eastAsia" w:ascii="宋体" w:cs="宋体"/>
                <w:color w:val="auto"/>
                <w:kern w:val="0"/>
                <w:szCs w:val="21"/>
              </w:rPr>
            </w:pPr>
            <w:r>
              <w:rPr>
                <w:rFonts w:hint="eastAsia" w:ascii="宋体" w:cs="宋体"/>
                <w:color w:val="auto"/>
                <w:kern w:val="0"/>
                <w:szCs w:val="21"/>
              </w:rPr>
              <w:t>水温、pH、氨氮、总磷、总氮、化学需氧量、五日生化需氧量、石油类、粪大肠菌群、悬浮物、溶解氧。</w:t>
            </w:r>
          </w:p>
          <w:p>
            <w:pPr>
              <w:rPr>
                <w:rFonts w:ascii="宋体" w:cs="宋体"/>
                <w:color w:val="auto"/>
                <w:kern w:val="0"/>
                <w:szCs w:val="21"/>
              </w:rPr>
            </w:pPr>
            <w:r>
              <w:rPr>
                <w:rFonts w:hint="eastAsia" w:ascii="宋体" w:cs="宋体"/>
                <w:color w:val="auto"/>
                <w:kern w:val="0"/>
                <w:szCs w:val="21"/>
              </w:rPr>
              <w:t>3.退水监测频率：每季度1次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75" w:type="dxa"/>
            <w:vMerge w:val="continue"/>
            <w:vAlign w:val="center"/>
          </w:tcPr>
          <w:p>
            <w:pPr>
              <w:widowControl/>
              <w:spacing w:line="460" w:lineRule="exact"/>
              <w:jc w:val="center"/>
              <w:rPr>
                <w:rFonts w:hint="eastAsia" w:ascii="宋体" w:hAnsi="宋体"/>
                <w:color w:val="auto"/>
                <w:szCs w:val="21"/>
              </w:rPr>
            </w:pPr>
          </w:p>
        </w:tc>
        <w:tc>
          <w:tcPr>
            <w:tcW w:w="1299" w:type="dxa"/>
            <w:vMerge w:val="continue"/>
            <w:vAlign w:val="center"/>
          </w:tcPr>
          <w:p>
            <w:pPr>
              <w:widowControl/>
              <w:spacing w:line="460" w:lineRule="exact"/>
              <w:rPr>
                <w:rFonts w:hint="eastAsia" w:ascii="宋体" w:cs="宋体"/>
                <w:color w:val="auto"/>
                <w:kern w:val="0"/>
                <w:szCs w:val="21"/>
              </w:rPr>
            </w:pPr>
          </w:p>
        </w:tc>
        <w:tc>
          <w:tcPr>
            <w:tcW w:w="837" w:type="dxa"/>
            <w:vMerge w:val="continue"/>
            <w:vAlign w:val="center"/>
          </w:tcPr>
          <w:p>
            <w:pPr>
              <w:widowControl/>
              <w:spacing w:line="460" w:lineRule="exact"/>
              <w:jc w:val="center"/>
              <w:rPr>
                <w:rFonts w:hint="eastAsia" w:ascii="宋体" w:hAnsi="宋体"/>
                <w:color w:val="auto"/>
                <w:szCs w:val="21"/>
              </w:rPr>
            </w:pPr>
          </w:p>
        </w:tc>
        <w:tc>
          <w:tcPr>
            <w:tcW w:w="720" w:type="dxa"/>
            <w:vMerge w:val="continue"/>
            <w:vAlign w:val="center"/>
          </w:tcPr>
          <w:p>
            <w:pPr>
              <w:widowControl/>
              <w:spacing w:line="460" w:lineRule="exact"/>
              <w:jc w:val="center"/>
              <w:rPr>
                <w:rFonts w:hint="eastAsia" w:ascii="宋体" w:hAnsi="宋体"/>
                <w:color w:val="auto"/>
                <w:szCs w:val="21"/>
              </w:rPr>
            </w:pPr>
          </w:p>
        </w:tc>
        <w:tc>
          <w:tcPr>
            <w:tcW w:w="1307" w:type="dxa"/>
            <w:vMerge w:val="continue"/>
            <w:vAlign w:val="center"/>
          </w:tcPr>
          <w:p>
            <w:pPr>
              <w:widowControl/>
              <w:spacing w:line="460" w:lineRule="exact"/>
              <w:jc w:val="center"/>
              <w:rPr>
                <w:rFonts w:hint="eastAsia" w:ascii="Arial" w:hAnsi="Arial" w:cs="Arial"/>
                <w:color w:val="auto"/>
                <w:szCs w:val="21"/>
              </w:rPr>
            </w:pPr>
          </w:p>
        </w:tc>
        <w:tc>
          <w:tcPr>
            <w:tcW w:w="4851" w:type="dxa"/>
            <w:vAlign w:val="center"/>
          </w:tcPr>
          <w:p>
            <w:pPr>
              <w:rPr>
                <w:rFonts w:hint="eastAsia" w:ascii="宋体" w:cs="宋体"/>
                <w:color w:val="auto"/>
                <w:kern w:val="0"/>
                <w:szCs w:val="21"/>
              </w:rPr>
            </w:pPr>
            <w:r>
              <w:rPr>
                <w:rFonts w:hint="eastAsia" w:ascii="宋体" w:cs="宋体"/>
                <w:color w:val="auto"/>
                <w:kern w:val="0"/>
                <w:szCs w:val="21"/>
              </w:rPr>
              <w:t>1.生活污水监测点：</w:t>
            </w:r>
          </w:p>
          <w:p>
            <w:pPr>
              <w:rPr>
                <w:rFonts w:hint="eastAsia" w:ascii="宋体" w:cs="宋体"/>
                <w:color w:val="auto"/>
                <w:kern w:val="0"/>
                <w:szCs w:val="21"/>
              </w:rPr>
            </w:pPr>
            <w:r>
              <w:rPr>
                <w:rFonts w:hint="eastAsia" w:ascii="宋体" w:cs="宋体"/>
                <w:color w:val="auto"/>
                <w:kern w:val="0"/>
                <w:szCs w:val="21"/>
              </w:rPr>
              <w:t>厂房186层污水处理室、生产办公楼污水处理室、大坝集控楼污水处理间、船闸污水处理室、生活办公营地污水处理室、公寓楼污水处理点等。</w:t>
            </w:r>
          </w:p>
          <w:p>
            <w:pPr>
              <w:rPr>
                <w:rFonts w:hint="eastAsia" w:ascii="宋体" w:cs="宋体"/>
                <w:color w:val="auto"/>
                <w:kern w:val="0"/>
                <w:szCs w:val="21"/>
              </w:rPr>
            </w:pPr>
            <w:r>
              <w:rPr>
                <w:rFonts w:hint="eastAsia" w:ascii="宋体" w:cs="宋体"/>
                <w:color w:val="auto"/>
                <w:kern w:val="0"/>
                <w:szCs w:val="21"/>
              </w:rPr>
              <w:t>2.生活污水监测项目：</w:t>
            </w:r>
          </w:p>
          <w:p>
            <w:pPr>
              <w:rPr>
                <w:rFonts w:hint="eastAsia" w:ascii="宋体" w:cs="宋体"/>
                <w:color w:val="auto"/>
                <w:kern w:val="0"/>
                <w:szCs w:val="21"/>
              </w:rPr>
            </w:pPr>
            <w:r>
              <w:rPr>
                <w:rFonts w:hint="eastAsia" w:ascii="宋体" w:cs="宋体"/>
                <w:color w:val="auto"/>
                <w:kern w:val="0"/>
                <w:szCs w:val="21"/>
              </w:rPr>
              <w:t>水温、pH、氨氮、总磷、总氮、化学需氧量、五日生化需氧量、石油类、动植物油、粪大肠菌群、悬浮物。</w:t>
            </w:r>
          </w:p>
          <w:p>
            <w:pPr>
              <w:rPr>
                <w:rFonts w:hint="eastAsia" w:ascii="宋体" w:cs="宋体"/>
                <w:color w:val="auto"/>
                <w:kern w:val="0"/>
                <w:szCs w:val="21"/>
              </w:rPr>
            </w:pPr>
            <w:r>
              <w:rPr>
                <w:rFonts w:hint="eastAsia" w:ascii="宋体" w:cs="宋体"/>
                <w:color w:val="auto"/>
                <w:kern w:val="0"/>
                <w:szCs w:val="21"/>
              </w:rPr>
              <w:t>3.生活污水监测频率：每季度1次</w:t>
            </w:r>
          </w:p>
        </w:tc>
      </w:tr>
    </w:tbl>
    <w:p>
      <w:pPr>
        <w:pStyle w:val="8"/>
        <w:spacing w:line="500" w:lineRule="exact"/>
        <w:rPr>
          <w:color w:val="000000"/>
        </w:rPr>
      </w:pPr>
      <w:bookmarkStart w:id="4" w:name="_Toc438116677"/>
      <w:bookmarkStart w:id="5" w:name="_Toc472668930"/>
      <w:bookmarkStart w:id="6" w:name="_Toc332640097"/>
      <w:r>
        <w:rPr>
          <w:rFonts w:hint="eastAsia"/>
          <w:color w:val="000000"/>
          <w:lang w:val="en-US" w:eastAsia="zh-CN"/>
        </w:rPr>
        <w:t>2</w:t>
      </w:r>
      <w:r>
        <w:rPr>
          <w:color w:val="000000"/>
        </w:rPr>
        <w:t>. 投标人资格要求</w:t>
      </w:r>
      <w:bookmarkEnd w:id="4"/>
      <w:bookmarkEnd w:id="5"/>
      <w:bookmarkEnd w:id="6"/>
    </w:p>
    <w:p>
      <w:pPr>
        <w:spacing w:line="400" w:lineRule="exact"/>
        <w:rPr>
          <w:rFonts w:hint="eastAsia"/>
          <w:color w:val="000000"/>
          <w:szCs w:val="21"/>
        </w:rPr>
      </w:pPr>
      <w:r>
        <w:rPr>
          <w:rFonts w:hint="eastAsia"/>
          <w:color w:val="000000"/>
          <w:szCs w:val="21"/>
          <w:lang w:val="en-US" w:eastAsia="zh-CN"/>
        </w:rPr>
        <w:t>2</w:t>
      </w:r>
      <w:r>
        <w:rPr>
          <w:rFonts w:hint="eastAsia"/>
          <w:color w:val="000000"/>
          <w:szCs w:val="21"/>
        </w:rPr>
        <w:t>.1投标人必须是一个依中国的法律设立，并在中国正式注册，具有法人地位，且为一般纳税人资格的公司（企业）。</w:t>
      </w:r>
    </w:p>
    <w:p>
      <w:pPr>
        <w:spacing w:line="400" w:lineRule="exact"/>
        <w:rPr>
          <w:rFonts w:hint="eastAsia"/>
          <w:color w:val="000000"/>
          <w:szCs w:val="21"/>
        </w:rPr>
      </w:pPr>
      <w:r>
        <w:rPr>
          <w:rFonts w:hint="eastAsia"/>
          <w:color w:val="000000"/>
          <w:szCs w:val="21"/>
          <w:lang w:val="en-US" w:eastAsia="zh-CN"/>
        </w:rPr>
        <w:t>2</w:t>
      </w:r>
      <w:r>
        <w:rPr>
          <w:rFonts w:hint="eastAsia"/>
          <w:color w:val="000000"/>
          <w:szCs w:val="21"/>
        </w:rPr>
        <w:t>.2投标人必须具备质量技术监督局下发的资质认定计量认证证书及相应的环境监测能力，同时收录于环境保护局下发的重庆市社会环境监测机构名录管理通知书内。</w:t>
      </w:r>
    </w:p>
    <w:p>
      <w:pPr>
        <w:spacing w:line="400" w:lineRule="exact"/>
        <w:rPr>
          <w:rFonts w:hint="eastAsia"/>
          <w:color w:val="000000"/>
          <w:szCs w:val="21"/>
        </w:rPr>
      </w:pPr>
      <w:r>
        <w:rPr>
          <w:rFonts w:hint="eastAsia"/>
          <w:color w:val="000000"/>
          <w:szCs w:val="21"/>
          <w:lang w:val="en-US" w:eastAsia="zh-CN"/>
        </w:rPr>
        <w:t>2</w:t>
      </w:r>
      <w:r>
        <w:rPr>
          <w:rFonts w:hint="eastAsia"/>
          <w:color w:val="000000"/>
          <w:szCs w:val="21"/>
        </w:rPr>
        <w:t>.3 投标人应具备良好的财务状况，具有足够的流动资金来承担本项目。投标人应提交最近三年会计年度的财务报表。</w:t>
      </w:r>
    </w:p>
    <w:p>
      <w:pPr>
        <w:spacing w:line="400" w:lineRule="exact"/>
        <w:rPr>
          <w:rFonts w:hint="eastAsia"/>
          <w:color w:val="000000"/>
          <w:szCs w:val="21"/>
        </w:rPr>
      </w:pPr>
      <w:r>
        <w:rPr>
          <w:rFonts w:hint="eastAsia"/>
          <w:color w:val="000000"/>
          <w:szCs w:val="21"/>
          <w:lang w:val="en-US" w:eastAsia="zh-CN"/>
        </w:rPr>
        <w:t>2</w:t>
      </w:r>
      <w:r>
        <w:rPr>
          <w:rFonts w:hint="eastAsia"/>
          <w:color w:val="000000"/>
          <w:szCs w:val="21"/>
        </w:rPr>
        <w:t>.4本次招标不接受联合体投标。</w:t>
      </w:r>
    </w:p>
    <w:p>
      <w:pPr>
        <w:spacing w:line="400" w:lineRule="exact"/>
        <w:rPr>
          <w:rFonts w:hint="eastAsia"/>
          <w:color w:val="000000"/>
          <w:szCs w:val="21"/>
        </w:rPr>
      </w:pPr>
      <w:r>
        <w:rPr>
          <w:rFonts w:hint="eastAsia"/>
          <w:color w:val="000000"/>
          <w:szCs w:val="21"/>
          <w:lang w:val="en-US" w:eastAsia="zh-CN"/>
        </w:rPr>
        <w:t>2</w:t>
      </w:r>
      <w:r>
        <w:rPr>
          <w:rFonts w:hint="eastAsia"/>
          <w:color w:val="000000"/>
          <w:szCs w:val="21"/>
        </w:rPr>
        <w:t>.5本次招标采用资格后审方式，开标后由评标委员会对投标人的资质进行审查，资格条件没有达到招标文件规定要求，评标委员会将否决其投标。</w:t>
      </w:r>
    </w:p>
    <w:bookmarkEnd w:id="3"/>
    <w:p>
      <w:pPr>
        <w:pStyle w:val="2"/>
        <w:spacing w:before="0" w:after="0" w:line="360" w:lineRule="auto"/>
        <w:rPr>
          <w:sz w:val="21"/>
          <w:szCs w:val="21"/>
        </w:rPr>
      </w:pPr>
      <w:bookmarkStart w:id="7" w:name="_Toc246996907"/>
      <w:bookmarkStart w:id="8" w:name="_Toc179632534"/>
      <w:bookmarkStart w:id="9" w:name="_Toc144974485"/>
      <w:bookmarkStart w:id="10" w:name="_Toc152042293"/>
      <w:bookmarkStart w:id="11" w:name="_Toc247085678"/>
      <w:bookmarkStart w:id="12" w:name="_Toc332095650"/>
      <w:bookmarkStart w:id="13" w:name="_Toc152045517"/>
      <w:bookmarkStart w:id="14" w:name="_Toc341738030"/>
      <w:bookmarkStart w:id="15" w:name="_Toc296602408"/>
      <w:bookmarkStart w:id="16" w:name="_Toc246996164"/>
      <w:r>
        <w:rPr>
          <w:rFonts w:hint="eastAsia"/>
          <w:sz w:val="21"/>
          <w:szCs w:val="21"/>
          <w:lang w:val="en-US" w:eastAsia="zh-CN"/>
        </w:rPr>
        <w:t>3</w:t>
      </w:r>
      <w:r>
        <w:rPr>
          <w:sz w:val="21"/>
          <w:szCs w:val="21"/>
        </w:rPr>
        <w:t>. 招标文件的获取</w:t>
      </w:r>
    </w:p>
    <w:p>
      <w:pPr>
        <w:spacing w:line="360" w:lineRule="auto"/>
        <w:ind w:firstLine="420" w:firstLineChars="200"/>
        <w:outlineLvl w:val="0"/>
        <w:rPr>
          <w:szCs w:val="21"/>
          <w:highlight w:val="none"/>
        </w:rPr>
      </w:pPr>
      <w:bookmarkStart w:id="17" w:name="_Toc247085676"/>
      <w:bookmarkStart w:id="18" w:name="_Toc341738027"/>
      <w:bookmarkStart w:id="19" w:name="_Toc144974484"/>
      <w:bookmarkStart w:id="20" w:name="_Toc296602406"/>
      <w:bookmarkStart w:id="21" w:name="_Toc246996905"/>
      <w:bookmarkStart w:id="22" w:name="_Toc246996162"/>
      <w:bookmarkStart w:id="23" w:name="_Toc152042292"/>
      <w:bookmarkStart w:id="24" w:name="_Toc332095648"/>
      <w:bookmarkStart w:id="25" w:name="_Toc179632532"/>
      <w:bookmarkStart w:id="26" w:name="_Toc152045516"/>
      <w:r>
        <w:rPr>
          <w:rFonts w:hint="eastAsia"/>
          <w:szCs w:val="21"/>
        </w:rPr>
        <w:t>3.1</w:t>
      </w:r>
      <w:r>
        <w:rPr>
          <w:rFonts w:hint="eastAsia" w:ascii="Arial" w:hAnsi="Arial" w:cs="Arial"/>
          <w:szCs w:val="21"/>
        </w:rPr>
        <w:t>招标文件购买</w:t>
      </w:r>
      <w:r>
        <w:rPr>
          <w:rFonts w:hint="eastAsia" w:ascii="Arial" w:hAnsi="Arial" w:cs="Arial"/>
          <w:szCs w:val="21"/>
          <w:highlight w:val="none"/>
        </w:rPr>
        <w:t>时间：201</w:t>
      </w:r>
      <w:r>
        <w:rPr>
          <w:rFonts w:hint="eastAsia" w:ascii="Arial" w:hAnsi="Arial" w:cs="Arial"/>
          <w:szCs w:val="21"/>
          <w:highlight w:val="none"/>
          <w:lang w:val="en-US" w:eastAsia="zh-CN"/>
        </w:rPr>
        <w:t>7</w:t>
      </w:r>
      <w:r>
        <w:rPr>
          <w:rFonts w:hint="eastAsia" w:ascii="Arial" w:hAnsi="Arial" w:cs="Arial"/>
          <w:szCs w:val="21"/>
          <w:highlight w:val="none"/>
        </w:rPr>
        <w:t>年</w:t>
      </w:r>
      <w:r>
        <w:rPr>
          <w:rFonts w:hint="eastAsia" w:ascii="Arial" w:hAnsi="Arial" w:cs="Arial"/>
          <w:szCs w:val="21"/>
          <w:highlight w:val="none"/>
          <w:lang w:val="en-US" w:eastAsia="zh-CN"/>
        </w:rPr>
        <w:t>3</w:t>
      </w:r>
      <w:r>
        <w:rPr>
          <w:rFonts w:hint="eastAsia" w:ascii="Arial" w:hAnsi="Arial" w:cs="Arial"/>
          <w:szCs w:val="21"/>
          <w:highlight w:val="none"/>
        </w:rPr>
        <w:t>月</w:t>
      </w:r>
      <w:r>
        <w:rPr>
          <w:rFonts w:hint="eastAsia" w:ascii="Arial" w:hAnsi="Arial" w:cs="Arial"/>
          <w:szCs w:val="21"/>
          <w:highlight w:val="none"/>
          <w:lang w:val="en-US" w:eastAsia="zh-CN"/>
        </w:rPr>
        <w:t>7</w:t>
      </w:r>
      <w:r>
        <w:rPr>
          <w:rFonts w:hint="eastAsia" w:ascii="Arial" w:hAnsi="Arial" w:cs="Arial"/>
          <w:szCs w:val="21"/>
          <w:highlight w:val="none"/>
        </w:rPr>
        <w:t>日~</w:t>
      </w:r>
      <w:r>
        <w:rPr>
          <w:rFonts w:hint="eastAsia" w:ascii="Arial" w:hAnsi="Arial" w:cs="Arial"/>
          <w:szCs w:val="21"/>
          <w:highlight w:val="none"/>
          <w:lang w:val="en-US" w:eastAsia="zh-CN"/>
        </w:rPr>
        <w:t>3</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日，上午9：00~11：30，下午14：00~17：00（节假日除外），每套招标文件售价人民币伍佰伍拾玖元（559），售后不退。</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lang w:val="en-US" w:eastAsia="zh-CN"/>
        </w:rPr>
        <w:t>3.2</w:t>
      </w:r>
      <w:r>
        <w:rPr>
          <w:rFonts w:hint="eastAsia" w:ascii="Arial" w:hAnsi="Arial" w:cs="Arial"/>
          <w:color w:val="auto"/>
          <w:sz w:val="21"/>
          <w:szCs w:val="21"/>
          <w:highlight w:val="none"/>
        </w:rPr>
        <w:t>招标文件获取方式：（1）注册：登陆中国电力招投标网（以下简称招标平台）www.chinapowerbid.com，点击“注册”，按要求完成注册手续并等待审核通过，有疑问请查看“供应商注册指南”或联系咨询热线；（2）报名：登录招标平台，在“我的投标平台”界面点击“报名”，搜索要参与的标段名称，完成报名信息的填写即可；（3）购买标书：在“我要投标”栏下点击“进入”，点击申购标书，按要求电汇标书费，并将汇款凭证上传（标书费请从公司基本账户汇出），等待我公司核实后即可下载招标文件。账号信息如下：</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单位名称：北京国电工程招标有限公司</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开户银行：中国工商银行股份有限公司北京黄楼支行</w:t>
      </w:r>
    </w:p>
    <w:p>
      <w:pPr>
        <w:pStyle w:val="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20" w:firstLineChars="200"/>
        <w:jc w:val="both"/>
        <w:rPr>
          <w:rFonts w:hint="eastAsia" w:ascii="Arial" w:hAnsi="Arial" w:cs="Arial"/>
          <w:color w:val="auto"/>
          <w:sz w:val="21"/>
          <w:szCs w:val="21"/>
          <w:highlight w:val="none"/>
        </w:rPr>
      </w:pPr>
      <w:r>
        <w:rPr>
          <w:rFonts w:hint="eastAsia" w:ascii="Arial" w:hAnsi="Arial" w:cs="Arial"/>
          <w:color w:val="auto"/>
          <w:sz w:val="21"/>
          <w:szCs w:val="21"/>
          <w:highlight w:val="none"/>
        </w:rPr>
        <w:t>账　　号：0200042019200063939</w:t>
      </w:r>
    </w:p>
    <w:p>
      <w:pPr>
        <w:spacing w:line="360" w:lineRule="auto"/>
        <w:ind w:firstLine="420" w:firstLineChars="200"/>
        <w:outlineLvl w:val="0"/>
        <w:rPr>
          <w:rFonts w:hint="eastAsia"/>
          <w:szCs w:val="21"/>
          <w:highlight w:val="none"/>
        </w:rPr>
      </w:pPr>
      <w:r>
        <w:rPr>
          <w:rFonts w:hint="eastAsia" w:ascii="Arial" w:hAnsi="Arial" w:cs="Arial"/>
          <w:szCs w:val="21"/>
          <w:highlight w:val="none"/>
        </w:rPr>
        <w:t>招标平台说明：招标平台的注册和报名不需要任何费用，各潜在投标人可根据自己的需求决定是否办理会员以获得更多的增值服务。网站联系电话：</w:t>
      </w:r>
      <w:r>
        <w:rPr>
          <w:rFonts w:hint="eastAsia" w:ascii="Arial" w:hAnsi="Arial" w:cs="Arial"/>
          <w:szCs w:val="21"/>
          <w:highlight w:val="none"/>
          <w:lang w:val="en-US" w:eastAsia="zh-CN"/>
        </w:rPr>
        <w:t>010-68777726</w:t>
      </w:r>
      <w:r>
        <w:rPr>
          <w:rFonts w:hint="eastAsia" w:ascii="Arial" w:hAnsi="Arial" w:cs="Arial"/>
          <w:szCs w:val="21"/>
          <w:highlight w:val="none"/>
        </w:rPr>
        <w:t>。</w:t>
      </w:r>
    </w:p>
    <w:p>
      <w:pPr>
        <w:pStyle w:val="2"/>
        <w:spacing w:before="0" w:after="0" w:line="360" w:lineRule="auto"/>
        <w:rPr>
          <w:sz w:val="21"/>
          <w:szCs w:val="21"/>
          <w:highlight w:val="none"/>
        </w:rPr>
      </w:pPr>
      <w:r>
        <w:rPr>
          <w:rFonts w:hint="eastAsia"/>
          <w:sz w:val="21"/>
          <w:szCs w:val="21"/>
          <w:highlight w:val="none"/>
          <w:lang w:val="en-US" w:eastAsia="zh-CN"/>
        </w:rPr>
        <w:t>4</w:t>
      </w:r>
      <w:r>
        <w:rPr>
          <w:sz w:val="21"/>
          <w:szCs w:val="21"/>
          <w:highlight w:val="none"/>
        </w:rPr>
        <w:t>. 投标文件的递交</w:t>
      </w:r>
      <w:bookmarkEnd w:id="17"/>
      <w:bookmarkEnd w:id="18"/>
      <w:bookmarkEnd w:id="19"/>
      <w:bookmarkEnd w:id="20"/>
      <w:bookmarkEnd w:id="21"/>
      <w:bookmarkEnd w:id="22"/>
      <w:bookmarkEnd w:id="23"/>
      <w:bookmarkEnd w:id="24"/>
      <w:bookmarkEnd w:id="25"/>
      <w:bookmarkEnd w:id="26"/>
    </w:p>
    <w:p>
      <w:pPr>
        <w:spacing w:line="360" w:lineRule="auto"/>
        <w:rPr>
          <w:szCs w:val="21"/>
          <w:highlight w:val="none"/>
        </w:rPr>
      </w:pPr>
      <w:r>
        <w:rPr>
          <w:rFonts w:hint="eastAsia"/>
          <w:szCs w:val="21"/>
          <w:highlight w:val="none"/>
        </w:rPr>
        <w:t xml:space="preserve">    （1）</w:t>
      </w:r>
      <w:r>
        <w:rPr>
          <w:szCs w:val="21"/>
          <w:highlight w:val="none"/>
        </w:rPr>
        <w:t>投标文件递交截止时间</w:t>
      </w:r>
      <w:r>
        <w:rPr>
          <w:rFonts w:hint="eastAsia"/>
          <w:szCs w:val="21"/>
          <w:highlight w:val="none"/>
        </w:rPr>
        <w:t>地点</w:t>
      </w:r>
      <w:r>
        <w:rPr>
          <w:szCs w:val="21"/>
          <w:highlight w:val="none"/>
        </w:rPr>
        <w:t>（</w:t>
      </w:r>
      <w:r>
        <w:rPr>
          <w:rFonts w:hint="eastAsia"/>
          <w:szCs w:val="21"/>
          <w:highlight w:val="none"/>
        </w:rPr>
        <w:t>同开标时间地点</w:t>
      </w:r>
      <w:r>
        <w:rPr>
          <w:szCs w:val="21"/>
          <w:highlight w:val="none"/>
        </w:rPr>
        <w:t>）</w:t>
      </w:r>
      <w:r>
        <w:rPr>
          <w:rFonts w:hint="eastAsia"/>
          <w:szCs w:val="21"/>
          <w:highlight w:val="none"/>
        </w:rPr>
        <w:t>暂定</w:t>
      </w:r>
      <w:r>
        <w:rPr>
          <w:szCs w:val="21"/>
          <w:highlight w:val="none"/>
        </w:rPr>
        <w:t>为</w:t>
      </w:r>
      <w:r>
        <w:rPr>
          <w:rFonts w:hint="eastAsia"/>
          <w:szCs w:val="21"/>
          <w:highlight w:val="none"/>
          <w:u w:val="single"/>
        </w:rPr>
        <w:t>201</w:t>
      </w:r>
      <w:r>
        <w:rPr>
          <w:rFonts w:hint="eastAsia"/>
          <w:szCs w:val="21"/>
          <w:highlight w:val="none"/>
          <w:u w:val="single"/>
          <w:lang w:val="en-US" w:eastAsia="zh-CN"/>
        </w:rPr>
        <w:t>7</w:t>
      </w:r>
      <w:r>
        <w:rPr>
          <w:szCs w:val="21"/>
          <w:highlight w:val="none"/>
          <w:u w:val="single"/>
        </w:rPr>
        <w:t>年</w:t>
      </w:r>
      <w:r>
        <w:rPr>
          <w:rFonts w:hint="eastAsia"/>
          <w:szCs w:val="21"/>
          <w:highlight w:val="none"/>
          <w:u w:val="single"/>
          <w:lang w:val="en-US" w:eastAsia="zh-CN"/>
        </w:rPr>
        <w:t>3</w:t>
      </w:r>
      <w:r>
        <w:rPr>
          <w:szCs w:val="21"/>
          <w:highlight w:val="none"/>
          <w:u w:val="single"/>
        </w:rPr>
        <w:t>月</w:t>
      </w:r>
      <w:r>
        <w:rPr>
          <w:rFonts w:hint="eastAsia"/>
          <w:szCs w:val="21"/>
          <w:highlight w:val="none"/>
          <w:u w:val="single"/>
          <w:lang w:val="en-US" w:eastAsia="zh-CN"/>
        </w:rPr>
        <w:t>30</w:t>
      </w:r>
      <w:r>
        <w:rPr>
          <w:szCs w:val="21"/>
          <w:highlight w:val="none"/>
          <w:u w:val="single"/>
        </w:rPr>
        <w:t>日</w:t>
      </w:r>
      <w:r>
        <w:rPr>
          <w:rFonts w:hint="eastAsia"/>
          <w:szCs w:val="21"/>
          <w:highlight w:val="none"/>
          <w:u w:val="single"/>
        </w:rPr>
        <w:t>上午10</w:t>
      </w:r>
      <w:r>
        <w:rPr>
          <w:szCs w:val="21"/>
          <w:highlight w:val="none"/>
          <w:u w:val="single"/>
        </w:rPr>
        <w:t>时</w:t>
      </w:r>
      <w:r>
        <w:rPr>
          <w:rFonts w:hint="eastAsia"/>
          <w:szCs w:val="21"/>
          <w:highlight w:val="none"/>
          <w:u w:val="single"/>
        </w:rPr>
        <w:t>00</w:t>
      </w:r>
      <w:r>
        <w:rPr>
          <w:szCs w:val="21"/>
          <w:highlight w:val="none"/>
          <w:u w:val="single"/>
        </w:rPr>
        <w:t>分，</w:t>
      </w:r>
      <w:r>
        <w:rPr>
          <w:rFonts w:hint="eastAsia"/>
          <w:szCs w:val="21"/>
          <w:highlight w:val="none"/>
          <w:u w:val="single"/>
        </w:rPr>
        <w:t>重庆</w:t>
      </w:r>
      <w:r>
        <w:rPr>
          <w:rFonts w:hint="eastAsia"/>
          <w:szCs w:val="21"/>
          <w:highlight w:val="none"/>
        </w:rPr>
        <w:t>，具体时间地点将会在开标前一个星期以邮件和短信的形式通知各潜在投标人。</w:t>
      </w:r>
    </w:p>
    <w:p>
      <w:pPr>
        <w:tabs>
          <w:tab w:val="left" w:pos="360"/>
        </w:tabs>
        <w:spacing w:line="360" w:lineRule="auto"/>
        <w:ind w:firstLine="420" w:firstLineChars="200"/>
        <w:outlineLvl w:val="0"/>
        <w:rPr>
          <w:szCs w:val="21"/>
        </w:rPr>
      </w:pPr>
      <w:bookmarkStart w:id="27" w:name="_Toc341738028"/>
      <w:r>
        <w:rPr>
          <w:rFonts w:hint="eastAsia"/>
          <w:szCs w:val="21"/>
        </w:rPr>
        <w:t>（2）</w:t>
      </w:r>
      <w:r>
        <w:rPr>
          <w:szCs w:val="21"/>
        </w:rPr>
        <w:t>逾期送达的或者未送达指定地点的投标文件，招标</w:t>
      </w:r>
      <w:r>
        <w:rPr>
          <w:rFonts w:hint="eastAsia"/>
          <w:szCs w:val="21"/>
        </w:rPr>
        <w:t>代理机构将</w:t>
      </w:r>
      <w:r>
        <w:rPr>
          <w:szCs w:val="21"/>
        </w:rPr>
        <w:t>不予受理。</w:t>
      </w:r>
      <w:bookmarkEnd w:id="27"/>
    </w:p>
    <w:p>
      <w:pPr>
        <w:pStyle w:val="2"/>
        <w:spacing w:before="0" w:after="0" w:line="360" w:lineRule="auto"/>
        <w:rPr>
          <w:sz w:val="21"/>
          <w:szCs w:val="21"/>
        </w:rPr>
      </w:pPr>
      <w:bookmarkStart w:id="28" w:name="_Toc332095649"/>
      <w:bookmarkStart w:id="29" w:name="_Toc247085677"/>
      <w:bookmarkStart w:id="30" w:name="_Toc179632533"/>
      <w:bookmarkStart w:id="31" w:name="_Toc246996163"/>
      <w:bookmarkStart w:id="32" w:name="_Toc246996906"/>
      <w:bookmarkStart w:id="33" w:name="_Toc296602407"/>
      <w:bookmarkStart w:id="34" w:name="_Toc341738029"/>
      <w:bookmarkStart w:id="35" w:name="_Toc157499355"/>
      <w:r>
        <w:rPr>
          <w:rFonts w:hint="eastAsia"/>
          <w:sz w:val="21"/>
          <w:szCs w:val="21"/>
          <w:lang w:val="en-US" w:eastAsia="zh-CN"/>
        </w:rPr>
        <w:t>5</w:t>
      </w:r>
      <w:r>
        <w:rPr>
          <w:rFonts w:hint="eastAsia"/>
          <w:sz w:val="21"/>
          <w:szCs w:val="21"/>
        </w:rPr>
        <w:t>. 发布公告的媒介</w:t>
      </w:r>
      <w:bookmarkEnd w:id="28"/>
      <w:bookmarkEnd w:id="29"/>
      <w:bookmarkEnd w:id="30"/>
      <w:bookmarkEnd w:id="31"/>
      <w:bookmarkEnd w:id="32"/>
      <w:bookmarkEnd w:id="33"/>
      <w:bookmarkEnd w:id="34"/>
      <w:bookmarkEnd w:id="35"/>
    </w:p>
    <w:p>
      <w:pPr>
        <w:spacing w:line="360" w:lineRule="auto"/>
        <w:ind w:firstLine="420" w:firstLineChars="200"/>
        <w:rPr>
          <w:rFonts w:hint="eastAsia"/>
          <w:szCs w:val="21"/>
        </w:rPr>
      </w:pPr>
      <w:r>
        <w:rPr>
          <w:rFonts w:hint="eastAsia"/>
          <w:szCs w:val="21"/>
        </w:rPr>
        <w:t>本招标公告仅在中国采购与招标网（网址：www.chinabidding.com.cn ）和 中国电力招投标网（网址： www.chinapowerbid.com）授权发布，其它任何网站不得转载。如有发现，我公司将追究非法转载单位的责任。</w:t>
      </w:r>
    </w:p>
    <w:p>
      <w:pPr>
        <w:pStyle w:val="2"/>
        <w:spacing w:before="0" w:after="0" w:line="360" w:lineRule="auto"/>
        <w:rPr>
          <w:sz w:val="21"/>
          <w:szCs w:val="21"/>
        </w:rPr>
      </w:pPr>
      <w:r>
        <w:rPr>
          <w:rFonts w:hint="eastAsia"/>
          <w:sz w:val="21"/>
          <w:szCs w:val="21"/>
          <w:lang w:val="en-US" w:eastAsia="zh-CN"/>
        </w:rPr>
        <w:t>6</w:t>
      </w:r>
      <w:r>
        <w:rPr>
          <w:sz w:val="21"/>
          <w:szCs w:val="21"/>
        </w:rPr>
        <w:t>. 联系方式</w:t>
      </w:r>
      <w:bookmarkEnd w:id="7"/>
      <w:bookmarkEnd w:id="8"/>
      <w:bookmarkEnd w:id="9"/>
      <w:bookmarkEnd w:id="10"/>
      <w:bookmarkEnd w:id="11"/>
      <w:bookmarkEnd w:id="12"/>
      <w:bookmarkEnd w:id="13"/>
      <w:bookmarkEnd w:id="14"/>
      <w:bookmarkEnd w:id="15"/>
      <w:bookmarkEnd w:id="16"/>
    </w:p>
    <w:p>
      <w:pPr>
        <w:spacing w:line="360" w:lineRule="auto"/>
        <w:rPr>
          <w:rFonts w:ascii="Arial" w:hAnsi="Arial" w:cs="Arial"/>
          <w:szCs w:val="21"/>
        </w:rPr>
      </w:pPr>
      <w:r>
        <w:rPr>
          <w:rFonts w:hint="eastAsia" w:ascii="Arial" w:hAnsi="Arial" w:cs="Arial"/>
          <w:szCs w:val="21"/>
        </w:rPr>
        <w:t>招标代理</w:t>
      </w:r>
      <w:r>
        <w:rPr>
          <w:rFonts w:ascii="Arial" w:hAnsi="Arial" w:cs="Arial"/>
          <w:szCs w:val="21"/>
        </w:rPr>
        <w:t>：</w:t>
      </w:r>
      <w:r>
        <w:rPr>
          <w:rFonts w:hint="eastAsia" w:ascii="Arial" w:hAnsi="Arial" w:cs="Arial"/>
          <w:szCs w:val="21"/>
        </w:rPr>
        <w:t>北京国电工程招标有限公司（武汉项目部）</w:t>
      </w:r>
    </w:p>
    <w:p>
      <w:pPr>
        <w:spacing w:line="360" w:lineRule="auto"/>
        <w:rPr>
          <w:rFonts w:ascii="Arial" w:hAnsi="Arial" w:cs="Arial"/>
          <w:szCs w:val="21"/>
        </w:rPr>
      </w:pPr>
      <w:r>
        <w:rPr>
          <w:rFonts w:hint="eastAsia" w:ascii="Arial" w:hAnsi="Arial" w:cs="Arial"/>
          <w:szCs w:val="21"/>
        </w:rPr>
        <w:t>联 系 人：金建新</w:t>
      </w:r>
    </w:p>
    <w:p>
      <w:pPr>
        <w:spacing w:line="360" w:lineRule="auto"/>
        <w:rPr>
          <w:rFonts w:ascii="Arial" w:hAnsi="Arial" w:cs="Arial"/>
          <w:szCs w:val="21"/>
        </w:rPr>
      </w:pPr>
      <w:r>
        <w:rPr>
          <w:rFonts w:hint="eastAsia" w:ascii="Arial" w:hAnsi="Arial" w:cs="Arial"/>
          <w:szCs w:val="21"/>
        </w:rPr>
        <w:t>电    话</w:t>
      </w:r>
      <w:r>
        <w:rPr>
          <w:rFonts w:ascii="Arial" w:hAnsi="Arial" w:cs="Arial"/>
          <w:szCs w:val="21"/>
        </w:rPr>
        <w:t>：</w:t>
      </w:r>
      <w:r>
        <w:rPr>
          <w:rFonts w:hint="eastAsia" w:ascii="Arial" w:hAnsi="Arial" w:cs="Arial"/>
          <w:szCs w:val="21"/>
        </w:rPr>
        <w:t>15527576331</w:t>
      </w:r>
    </w:p>
    <w:p>
      <w:pPr>
        <w:spacing w:line="360" w:lineRule="auto"/>
        <w:rPr>
          <w:rFonts w:hint="eastAsia" w:ascii="Arial" w:hAnsi="Arial" w:cs="Arial"/>
          <w:szCs w:val="21"/>
        </w:rPr>
      </w:pPr>
      <w:r>
        <w:rPr>
          <w:rFonts w:hint="eastAsia" w:ascii="Arial" w:hAnsi="Arial" w:cs="Arial"/>
          <w:szCs w:val="21"/>
        </w:rPr>
        <w:t>邮    箱：</w:t>
      </w:r>
      <w:r>
        <w:rPr>
          <w:rFonts w:hint="eastAsia" w:ascii="Arial" w:hAnsi="Arial" w:cs="Arial"/>
          <w:szCs w:val="21"/>
        </w:rPr>
        <w:fldChar w:fldCharType="begin"/>
      </w:r>
      <w:r>
        <w:rPr>
          <w:rFonts w:hint="eastAsia" w:ascii="Arial" w:hAnsi="Arial" w:cs="Arial"/>
          <w:szCs w:val="21"/>
        </w:rPr>
        <w:instrText xml:space="preserve">HYPERLINK "mailto:leije@cweme.com" </w:instrText>
      </w:r>
      <w:r>
        <w:rPr>
          <w:rFonts w:hint="eastAsia" w:ascii="Arial" w:hAnsi="Arial" w:cs="Arial"/>
          <w:szCs w:val="21"/>
        </w:rPr>
        <w:fldChar w:fldCharType="separate"/>
      </w:r>
      <w:r>
        <w:rPr>
          <w:rFonts w:hint="eastAsia" w:ascii="Arial" w:hAnsi="Arial" w:cs="Arial"/>
          <w:szCs w:val="21"/>
        </w:rPr>
        <w:t>jinjianxin@cweme.com</w:t>
      </w:r>
      <w:r>
        <w:rPr>
          <w:rFonts w:hint="eastAsia" w:ascii="Arial" w:hAnsi="Arial" w:cs="Arial"/>
          <w:szCs w:val="21"/>
        </w:rPr>
        <w:fldChar w:fldCharType="end"/>
      </w:r>
    </w:p>
    <w:p>
      <w:pPr>
        <w:adjustRightInd w:val="0"/>
        <w:snapToGrid w:val="0"/>
        <w:spacing w:line="360" w:lineRule="auto"/>
        <w:rPr>
          <w:rFonts w:hint="eastAsia"/>
        </w:rPr>
      </w:pPr>
      <w:r>
        <w:rPr>
          <w:rFonts w:hint="eastAsia" w:ascii="Arial" w:hAnsi="Arial" w:cs="Arial"/>
          <w:szCs w:val="21"/>
        </w:rPr>
        <w:t>地    址：湖北省武汉市江汉区天门墩1号，邮编430015</w:t>
      </w:r>
    </w:p>
    <w:p>
      <w:pPr>
        <w:spacing w:line="360" w:lineRule="auto"/>
        <w:rPr>
          <w:rFonts w:hint="eastAsia" w:ascii="Arial" w:hAnsi="Arial" w:cs="Arial"/>
          <w:szCs w:val="21"/>
        </w:rPr>
      </w:pPr>
      <w:r>
        <w:rPr>
          <w:rFonts w:hint="eastAsia" w:ascii="Arial" w:hAnsi="Arial" w:cs="Arial"/>
          <w:szCs w:val="21"/>
        </w:rPr>
        <w:t xml:space="preserve">招 标 人：重庆大唐国际武隆水电开发有限公司 </w:t>
      </w:r>
    </w:p>
    <w:p>
      <w:pPr>
        <w:spacing w:line="360" w:lineRule="auto"/>
        <w:rPr>
          <w:rFonts w:hint="eastAsia" w:ascii="Arial" w:hAnsi="Arial" w:cs="Arial"/>
          <w:szCs w:val="21"/>
        </w:rPr>
      </w:pPr>
      <w:r>
        <w:rPr>
          <w:rFonts w:hint="eastAsia" w:ascii="Arial" w:hAnsi="Arial" w:cs="Arial"/>
          <w:szCs w:val="21"/>
        </w:rPr>
        <w:t>办公地址：重庆市武隆区江口镇</w:t>
      </w:r>
    </w:p>
    <w:p>
      <w:pPr>
        <w:spacing w:line="360" w:lineRule="auto"/>
        <w:rPr>
          <w:rFonts w:hint="eastAsia" w:ascii="Arial" w:hAnsi="Arial" w:cs="Arial"/>
          <w:szCs w:val="21"/>
        </w:rPr>
      </w:pPr>
      <w:r>
        <w:rPr>
          <w:rFonts w:hint="eastAsia" w:ascii="Arial" w:hAnsi="Arial" w:cs="Arial"/>
          <w:szCs w:val="21"/>
        </w:rPr>
        <w:t xml:space="preserve">邮政编码：408506 </w:t>
      </w:r>
    </w:p>
    <w:p>
      <w:pPr>
        <w:spacing w:line="360" w:lineRule="auto"/>
        <w:rPr>
          <w:rFonts w:hint="eastAsia" w:ascii="Arial" w:hAnsi="Arial" w:cs="Arial"/>
          <w:szCs w:val="21"/>
        </w:rPr>
      </w:pPr>
      <w:r>
        <w:rPr>
          <w:rFonts w:hint="eastAsia" w:ascii="Arial" w:hAnsi="Arial" w:cs="Arial"/>
          <w:szCs w:val="21"/>
        </w:rPr>
        <w:t>联 系 人：严金平（商务）</w:t>
      </w:r>
    </w:p>
    <w:p>
      <w:pPr>
        <w:spacing w:line="360" w:lineRule="auto"/>
        <w:rPr>
          <w:rFonts w:hint="eastAsia" w:ascii="Arial" w:hAnsi="Arial" w:cs="Arial"/>
          <w:szCs w:val="21"/>
        </w:rPr>
      </w:pPr>
      <w:r>
        <w:rPr>
          <w:rFonts w:hint="eastAsia" w:ascii="Arial" w:hAnsi="Arial" w:cs="Arial"/>
          <w:szCs w:val="21"/>
        </w:rPr>
        <w:t>联系电话：023-77743672  传真：023-77743670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Plotter">
    <w:altName w:val="Lucida Console"/>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im Hei">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auto"/>
    <w:pitch w:val="default"/>
    <w:sig w:usb0="80000287" w:usb1="280F3C52"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67A2"/>
    <w:rsid w:val="03D326FA"/>
    <w:rsid w:val="30DE1BCA"/>
    <w:rsid w:val="49BB5229"/>
    <w:rsid w:val="6B8068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line="415" w:lineRule="auto"/>
      <w:outlineLvl w:val="2"/>
    </w:pPr>
    <w:rPr>
      <w:rFonts w:ascii="Plotter" w:hAnsi="Plotter"/>
      <w:bCs/>
      <w:sz w:val="28"/>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List"/>
    <w:basedOn w:val="1"/>
    <w:qFormat/>
    <w:uiPriority w:val="0"/>
    <w:pPr>
      <w:ind w:left="200" w:hanging="200" w:hangingChars="200"/>
    </w:p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样式 标题 2 + Times New Roman 四号 非加粗 段前: 5 磅 段后: 0 磅 行距: 固定值 20..."/>
    <w:basedOn w:val="2"/>
    <w:next w:val="4"/>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jinjx</dc:creator>
  <cp:lastModifiedBy>CYQ</cp:lastModifiedBy>
  <dcterms:modified xsi:type="dcterms:W3CDTF">2017-03-07T09:59:06Z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