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FC2" w:rsidRPr="00B96511" w:rsidRDefault="00BE4FC2" w:rsidP="00BE4FC2">
      <w:pPr>
        <w:spacing w:line="300" w:lineRule="exact"/>
      </w:pPr>
      <w:r w:rsidRPr="00B96511">
        <w:t>附件</w:t>
      </w:r>
      <w:r>
        <w:rPr>
          <w:rFonts w:hint="eastAsia"/>
        </w:rPr>
        <w:t>1</w:t>
      </w:r>
      <w:r w:rsidRPr="00B96511">
        <w:t xml:space="preserve"> </w:t>
      </w:r>
      <w:r>
        <w:rPr>
          <w:rFonts w:hint="eastAsia"/>
        </w:rPr>
        <w:t>有关约定</w:t>
      </w:r>
      <w:r w:rsidRPr="00B96511">
        <w:t xml:space="preserve">    </w:t>
      </w:r>
      <w:r w:rsidRPr="00B96511">
        <w:rPr>
          <w:b/>
          <w:sz w:val="28"/>
        </w:rPr>
        <w:t>试用合格标准、</w:t>
      </w:r>
      <w:r>
        <w:rPr>
          <w:rFonts w:hint="eastAsia"/>
          <w:b/>
          <w:sz w:val="28"/>
        </w:rPr>
        <w:t>结算、</w:t>
      </w:r>
      <w:r w:rsidRPr="00B96511">
        <w:rPr>
          <w:b/>
          <w:sz w:val="28"/>
        </w:rPr>
        <w:t>违约及特殊情况处理有关约定</w:t>
      </w:r>
    </w:p>
    <w:p w:rsidR="00BE4FC2" w:rsidRPr="00B96511" w:rsidRDefault="00BE4FC2" w:rsidP="00BE4FC2">
      <w:pPr>
        <w:spacing w:line="360" w:lineRule="exact"/>
        <w:ind w:firstLineChars="200" w:firstLine="420"/>
      </w:pPr>
      <w:r w:rsidRPr="00B96511">
        <w:t>1</w:t>
      </w:r>
      <w:r w:rsidRPr="00B96511">
        <w:t>、试用</w:t>
      </w:r>
    </w:p>
    <w:p w:rsidR="00BE4FC2" w:rsidRPr="00B96511" w:rsidRDefault="00BE4FC2" w:rsidP="00BE4FC2">
      <w:pPr>
        <w:spacing w:line="360" w:lineRule="exact"/>
        <w:ind w:firstLineChars="200" w:firstLine="420"/>
      </w:pPr>
      <w:r w:rsidRPr="00B96511">
        <w:t xml:space="preserve">1.1 </w:t>
      </w:r>
      <w:r w:rsidRPr="00B96511">
        <w:t>试用</w:t>
      </w:r>
      <w:r>
        <w:rPr>
          <w:rFonts w:hint="eastAsia"/>
        </w:rPr>
        <w:t>量</w:t>
      </w:r>
      <w:r w:rsidRPr="00B96511">
        <w:t>：</w:t>
      </w:r>
      <w:r>
        <w:rPr>
          <w:rFonts w:hint="eastAsia"/>
        </w:rPr>
        <w:t>约</w:t>
      </w:r>
      <w:r>
        <w:rPr>
          <w:rFonts w:hint="eastAsia"/>
        </w:rPr>
        <w:t>15</w:t>
      </w:r>
      <w:r>
        <w:rPr>
          <w:rFonts w:hint="eastAsia"/>
        </w:rPr>
        <w:t>吨</w:t>
      </w:r>
      <w:r w:rsidRPr="00B96511">
        <w:t>。</w:t>
      </w:r>
    </w:p>
    <w:p w:rsidR="00BE4FC2" w:rsidRPr="00B96511" w:rsidRDefault="00BE4FC2" w:rsidP="00BE4FC2">
      <w:pPr>
        <w:spacing w:line="360" w:lineRule="exact"/>
        <w:ind w:firstLineChars="200" w:firstLine="420"/>
      </w:pPr>
      <w:r w:rsidRPr="00B96511">
        <w:t xml:space="preserve">1.2 </w:t>
      </w:r>
      <w:r w:rsidRPr="00B96511">
        <w:t>试用合格标准：同时满足以下三个要求。</w:t>
      </w:r>
    </w:p>
    <w:p w:rsidR="00BE4FC2" w:rsidRPr="00B96511" w:rsidRDefault="00BE4FC2" w:rsidP="00BE4FC2">
      <w:pPr>
        <w:spacing w:line="360" w:lineRule="exact"/>
        <w:ind w:firstLineChars="200" w:firstLine="420"/>
      </w:pPr>
      <w:r w:rsidRPr="00B96511">
        <w:t>1.2.1</w:t>
      </w:r>
      <w:r w:rsidRPr="00B96511">
        <w:t>达到性能保证要求。</w:t>
      </w:r>
    </w:p>
    <w:p w:rsidR="00BE4FC2" w:rsidRPr="00B96511" w:rsidRDefault="00BE4FC2" w:rsidP="00BE4FC2">
      <w:pPr>
        <w:spacing w:line="360" w:lineRule="exact"/>
        <w:ind w:firstLineChars="200" w:firstLine="420"/>
      </w:pPr>
      <w:r w:rsidRPr="00B96511">
        <w:t>1.2.2</w:t>
      </w:r>
      <w:r w:rsidRPr="00B96511">
        <w:t>投标产品在试用期间未对招标人装置生产造成不良影响。</w:t>
      </w:r>
    </w:p>
    <w:p w:rsidR="00BE4FC2" w:rsidRPr="00B96511" w:rsidRDefault="00BE4FC2" w:rsidP="00BE4FC2">
      <w:pPr>
        <w:spacing w:line="360" w:lineRule="exact"/>
        <w:ind w:firstLineChars="200" w:firstLine="420"/>
      </w:pPr>
      <w:r w:rsidRPr="00B96511">
        <w:t>1.2.3</w:t>
      </w:r>
      <w:r w:rsidRPr="00B96511">
        <w:t>投标产品实际</w:t>
      </w:r>
      <w:r w:rsidRPr="004B7244">
        <w:t>费用</w:t>
      </w:r>
      <w:r w:rsidRPr="00B96511">
        <w:t>与投标文件中的数据相比不超过</w:t>
      </w:r>
      <w:r w:rsidRPr="00B96511">
        <w:t>10%</w:t>
      </w:r>
      <w:r w:rsidRPr="00B96511">
        <w:t>。</w:t>
      </w:r>
    </w:p>
    <w:p w:rsidR="00BE4FC2" w:rsidRDefault="00BE4FC2" w:rsidP="00BE4FC2">
      <w:pPr>
        <w:spacing w:line="360" w:lineRule="exact"/>
        <w:ind w:firstLineChars="200" w:firstLine="420"/>
        <w:rPr>
          <w:rFonts w:hint="eastAsia"/>
          <w:szCs w:val="21"/>
        </w:rPr>
      </w:pPr>
      <w:r w:rsidRPr="00B96511">
        <w:t>达到上述标准视为试用合格，</w:t>
      </w:r>
      <w:r w:rsidRPr="00B96511">
        <w:rPr>
          <w:szCs w:val="21"/>
        </w:rPr>
        <w:t>由招标人技术部门出质量达到要求报告后办理《三剂使用审批表》，后续日常使用。</w:t>
      </w:r>
    </w:p>
    <w:p w:rsidR="00BE4FC2" w:rsidRDefault="00BE4FC2" w:rsidP="00BE4FC2">
      <w:pPr>
        <w:spacing w:line="360" w:lineRule="exact"/>
        <w:ind w:firstLineChars="200" w:firstLine="420"/>
        <w:rPr>
          <w:rFonts w:hAnsi="宋体" w:hint="eastAsia"/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、结算：</w:t>
      </w:r>
      <w:r w:rsidRPr="00BC2F91">
        <w:rPr>
          <w:rFonts w:hAnsi="宋体"/>
          <w:szCs w:val="21"/>
        </w:rPr>
        <w:t>实际使用数量与中标人的投标数量相比，少者为结算数量。</w:t>
      </w:r>
    </w:p>
    <w:p w:rsidR="00BE4FC2" w:rsidRPr="007552CC" w:rsidRDefault="00BE4FC2" w:rsidP="00BE4FC2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bCs/>
          <w:szCs w:val="21"/>
        </w:rPr>
        <w:t>2</w:t>
      </w:r>
      <w:r w:rsidRPr="007552CC">
        <w:rPr>
          <w:bCs/>
          <w:szCs w:val="21"/>
        </w:rPr>
        <w:t xml:space="preserve">.1 </w:t>
      </w:r>
      <w:r w:rsidRPr="007552CC">
        <w:rPr>
          <w:bCs/>
          <w:szCs w:val="21"/>
        </w:rPr>
        <w:t>付款条件：</w:t>
      </w:r>
    </w:p>
    <w:p w:rsidR="00BE4FC2" w:rsidRPr="00B96511" w:rsidRDefault="00BE4FC2" w:rsidP="00BE4FC2">
      <w:pPr>
        <w:spacing w:line="360" w:lineRule="exact"/>
        <w:ind w:firstLineChars="200" w:firstLine="420"/>
        <w:rPr>
          <w:color w:val="000000"/>
          <w:szCs w:val="21"/>
        </w:rPr>
      </w:pPr>
      <w:r>
        <w:rPr>
          <w:rFonts w:hint="eastAsia"/>
          <w:szCs w:val="21"/>
        </w:rPr>
        <w:t>2</w:t>
      </w:r>
      <w:r w:rsidRPr="007552CC">
        <w:rPr>
          <w:szCs w:val="21"/>
        </w:rPr>
        <w:t xml:space="preserve">.1.1 </w:t>
      </w:r>
      <w:r w:rsidRPr="007552CC">
        <w:rPr>
          <w:szCs w:val="21"/>
        </w:rPr>
        <w:t>试用期间：货到验收合格</w:t>
      </w:r>
      <w:r w:rsidRPr="007552CC">
        <w:rPr>
          <w:color w:val="000000"/>
          <w:szCs w:val="21"/>
        </w:rPr>
        <w:t>试用达到</w:t>
      </w:r>
      <w:r w:rsidRPr="00B96511">
        <w:rPr>
          <w:color w:val="000000"/>
          <w:szCs w:val="21"/>
        </w:rPr>
        <w:t>招标人要求时，由招标人技术部门出质量达到要求报告后付款；</w:t>
      </w:r>
    </w:p>
    <w:p w:rsidR="00BE4FC2" w:rsidRPr="00B96511" w:rsidRDefault="00BE4FC2" w:rsidP="00BE4FC2">
      <w:pPr>
        <w:spacing w:line="360" w:lineRule="exact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</w:t>
      </w:r>
      <w:r w:rsidRPr="00B96511">
        <w:rPr>
          <w:color w:val="000000"/>
          <w:szCs w:val="21"/>
        </w:rPr>
        <w:t xml:space="preserve">.1.2 </w:t>
      </w:r>
      <w:r w:rsidRPr="00B96511">
        <w:rPr>
          <w:color w:val="000000"/>
          <w:szCs w:val="21"/>
        </w:rPr>
        <w:t>后续日常使用期间：货到验收合格后付款；</w:t>
      </w:r>
    </w:p>
    <w:p w:rsidR="00BE4FC2" w:rsidRPr="00B96511" w:rsidRDefault="00BE4FC2" w:rsidP="00BE4FC2">
      <w:pPr>
        <w:spacing w:line="360" w:lineRule="exact"/>
        <w:ind w:firstLineChars="200" w:firstLine="420"/>
        <w:rPr>
          <w:color w:val="FF0000"/>
          <w:szCs w:val="21"/>
        </w:rPr>
      </w:pPr>
      <w:r>
        <w:rPr>
          <w:rFonts w:hint="eastAsia"/>
          <w:color w:val="000000"/>
          <w:szCs w:val="21"/>
        </w:rPr>
        <w:t>2</w:t>
      </w:r>
      <w:r w:rsidRPr="00B96511">
        <w:rPr>
          <w:color w:val="000000"/>
          <w:szCs w:val="21"/>
        </w:rPr>
        <w:t xml:space="preserve">.1.3 </w:t>
      </w:r>
      <w:r w:rsidRPr="00B96511">
        <w:rPr>
          <w:color w:val="000000"/>
          <w:szCs w:val="21"/>
        </w:rPr>
        <w:t>价款支付方式包含且不限于承兑汇票。</w:t>
      </w:r>
      <w:r w:rsidRPr="00B96511">
        <w:rPr>
          <w:color w:val="FF0000"/>
          <w:szCs w:val="21"/>
        </w:rPr>
        <w:t xml:space="preserve"> </w:t>
      </w:r>
    </w:p>
    <w:p w:rsidR="00BE4FC2" w:rsidRDefault="00BE4FC2" w:rsidP="00BE4FC2">
      <w:pPr>
        <w:spacing w:line="360" w:lineRule="exact"/>
        <w:ind w:firstLineChars="200" w:firstLine="420"/>
        <w:rPr>
          <w:rFonts w:hAnsi="宋体" w:hint="eastAsia"/>
        </w:rPr>
      </w:pPr>
      <w:r>
        <w:rPr>
          <w:rFonts w:hint="eastAsia"/>
          <w:szCs w:val="21"/>
        </w:rPr>
        <w:t>2</w:t>
      </w:r>
      <w:r w:rsidRPr="00B96511">
        <w:rPr>
          <w:szCs w:val="21"/>
        </w:rPr>
        <w:t xml:space="preserve">.1.4 </w:t>
      </w:r>
      <w:r w:rsidRPr="00B96511">
        <w:rPr>
          <w:szCs w:val="21"/>
        </w:rPr>
        <w:t>试用及</w:t>
      </w:r>
      <w:r w:rsidRPr="00B96511">
        <w:rPr>
          <w:color w:val="000000"/>
          <w:szCs w:val="21"/>
        </w:rPr>
        <w:t>后续日常使用期间：中标产品</w:t>
      </w:r>
      <w:r w:rsidRPr="00B96511">
        <w:rPr>
          <w:szCs w:val="21"/>
        </w:rPr>
        <w:t>未达到性能保证或因</w:t>
      </w:r>
      <w:r w:rsidRPr="00B96511">
        <w:rPr>
          <w:color w:val="000000"/>
          <w:szCs w:val="21"/>
        </w:rPr>
        <w:t>中标</w:t>
      </w:r>
      <w:proofErr w:type="gramStart"/>
      <w:r w:rsidRPr="00B96511">
        <w:rPr>
          <w:color w:val="000000"/>
          <w:szCs w:val="21"/>
        </w:rPr>
        <w:t>人原因</w:t>
      </w:r>
      <w:proofErr w:type="gramEnd"/>
      <w:r w:rsidRPr="00B96511">
        <w:rPr>
          <w:color w:val="000000"/>
          <w:szCs w:val="21"/>
        </w:rPr>
        <w:t>对装置正常生产造成影响，招标人可单方立即停止使用，剩余剂退回中标人，发生相关费用由中标人负责，</w:t>
      </w:r>
      <w:r w:rsidRPr="00B96511">
        <w:rPr>
          <w:szCs w:val="21"/>
        </w:rPr>
        <w:t>对已使用量款项不进行结算。</w:t>
      </w:r>
    </w:p>
    <w:p w:rsidR="00BE4FC2" w:rsidRPr="00B96511" w:rsidRDefault="00BE4FC2" w:rsidP="00BE4FC2">
      <w:pPr>
        <w:spacing w:line="360" w:lineRule="exact"/>
        <w:ind w:firstLineChars="200" w:firstLine="420"/>
      </w:pPr>
      <w:r>
        <w:rPr>
          <w:rFonts w:hint="eastAsia"/>
        </w:rPr>
        <w:t>3</w:t>
      </w:r>
      <w:r w:rsidRPr="00B96511">
        <w:t>、违约及特殊情况处理</w:t>
      </w:r>
    </w:p>
    <w:p w:rsidR="00BE4FC2" w:rsidRPr="00B96511" w:rsidRDefault="00BE4FC2" w:rsidP="00BE4FC2">
      <w:pPr>
        <w:spacing w:line="360" w:lineRule="exact"/>
        <w:ind w:firstLineChars="200" w:firstLine="420"/>
      </w:pPr>
      <w:r>
        <w:rPr>
          <w:rFonts w:hint="eastAsia"/>
        </w:rPr>
        <w:t>3</w:t>
      </w:r>
      <w:r w:rsidRPr="00B96511">
        <w:t xml:space="preserve">.1 </w:t>
      </w:r>
      <w:r w:rsidRPr="00B96511">
        <w:t>试用期间未达到性能保证或因中标</w:t>
      </w:r>
      <w:proofErr w:type="gramStart"/>
      <w:r w:rsidRPr="00B96511">
        <w:t>人原因</w:t>
      </w:r>
      <w:proofErr w:type="gramEnd"/>
      <w:r w:rsidRPr="00B96511">
        <w:t>对装置正常生产造成影响的，招标人可单方立即停止使用，剩余产品退回中标人，发生相关费用由中标人负责，对已使用量款项不进行结算，对招标人正常生产造成影响的酌情扣除履约保证金，不足部分由投标人赔偿相应损失。</w:t>
      </w:r>
    </w:p>
    <w:p w:rsidR="00BE4FC2" w:rsidRPr="00B96511" w:rsidRDefault="00BE4FC2" w:rsidP="00BE4FC2">
      <w:pPr>
        <w:spacing w:line="360" w:lineRule="exact"/>
        <w:ind w:firstLineChars="200" w:firstLine="420"/>
      </w:pPr>
      <w:r w:rsidRPr="00B96511">
        <w:t>后续日常使用期间未达到性能保证要求或因中标</w:t>
      </w:r>
      <w:proofErr w:type="gramStart"/>
      <w:r w:rsidRPr="00B96511">
        <w:t>人原因</w:t>
      </w:r>
      <w:proofErr w:type="gramEnd"/>
      <w:r w:rsidRPr="00B96511">
        <w:t>对装置正常生产造成影响的，并未按招标人要求及时处理，招标人可单方立即停止使用，剩余产品退回中标人，发生相关费用由中标人负责，对该已使用量款项不进行结算，对招标人正常生产造成影响的酌情扣除履约保证金，不足部分扣留投标人在招标人处部分货款，仍不足部分由投标人赔偿相应损失，并处在</w:t>
      </w:r>
      <w:r w:rsidRPr="00B96511">
        <w:t>5</w:t>
      </w:r>
      <w:r w:rsidRPr="00B96511">
        <w:t>年内取消中标人在招标人市场范围内的供应商准入资格，且招标人保留诉讼权利。</w:t>
      </w:r>
    </w:p>
    <w:p w:rsidR="00BE4FC2" w:rsidRPr="00B96511" w:rsidRDefault="00BE4FC2" w:rsidP="00BE4FC2">
      <w:pPr>
        <w:spacing w:line="360" w:lineRule="exact"/>
        <w:ind w:firstLineChars="200" w:firstLine="420"/>
      </w:pPr>
      <w:r>
        <w:rPr>
          <w:rFonts w:hint="eastAsia"/>
        </w:rPr>
        <w:t>3</w:t>
      </w:r>
      <w:r w:rsidRPr="00B96511">
        <w:t>.</w:t>
      </w:r>
      <w:r>
        <w:rPr>
          <w:rFonts w:hint="eastAsia"/>
        </w:rPr>
        <w:t>2</w:t>
      </w:r>
      <w:r w:rsidRPr="00B96511">
        <w:t xml:space="preserve"> </w:t>
      </w:r>
      <w:r w:rsidRPr="00B96511">
        <w:t>发生上述</w:t>
      </w:r>
      <w:r w:rsidRPr="00F336D9">
        <w:t>违约</w:t>
      </w:r>
      <w:r w:rsidRPr="00B96511">
        <w:t>情况，顺延至下一中标候选人试用或重新招标。</w:t>
      </w:r>
    </w:p>
    <w:p w:rsidR="00BE4FC2" w:rsidRPr="00B96511" w:rsidRDefault="00BE4FC2" w:rsidP="00BE4FC2">
      <w:pPr>
        <w:spacing w:line="360" w:lineRule="exact"/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、</w:t>
      </w:r>
      <w:r w:rsidRPr="00B96511">
        <w:t>招标人</w:t>
      </w:r>
      <w:r>
        <w:rPr>
          <w:rFonts w:hint="eastAsia"/>
        </w:rPr>
        <w:t>生产经营</w:t>
      </w:r>
      <w:r w:rsidRPr="00B96511">
        <w:t>发生较大变化，原中标产品无法满足招标人生产需要，招标人有权重新采购。</w:t>
      </w:r>
    </w:p>
    <w:p w:rsidR="00BE4FC2" w:rsidRDefault="00BE4FC2" w:rsidP="00BE4FC2">
      <w:pPr>
        <w:spacing w:line="360" w:lineRule="exact"/>
        <w:rPr>
          <w:rFonts w:hAnsi="宋体" w:hint="eastAsia"/>
          <w:szCs w:val="21"/>
        </w:rPr>
      </w:pPr>
    </w:p>
    <w:p w:rsidR="00BE4FC2" w:rsidRDefault="00BE4FC2" w:rsidP="00BE4FC2">
      <w:pPr>
        <w:rPr>
          <w:rFonts w:hAnsi="宋体" w:hint="eastAsia"/>
          <w:szCs w:val="21"/>
        </w:rPr>
      </w:pPr>
    </w:p>
    <w:p w:rsidR="00BE4FC2" w:rsidRDefault="00BE4FC2" w:rsidP="00BE4FC2">
      <w:pPr>
        <w:rPr>
          <w:rFonts w:hAnsi="宋体" w:hint="eastAsia"/>
          <w:szCs w:val="21"/>
        </w:rPr>
      </w:pPr>
    </w:p>
    <w:p w:rsidR="00BE4FC2" w:rsidRDefault="00BE4FC2" w:rsidP="00BE4FC2">
      <w:pPr>
        <w:rPr>
          <w:rFonts w:hAnsi="宋体" w:hint="eastAsia"/>
          <w:szCs w:val="21"/>
        </w:rPr>
      </w:pPr>
    </w:p>
    <w:p w:rsidR="00BE4FC2" w:rsidRDefault="00BE4FC2" w:rsidP="00BE4FC2">
      <w:pPr>
        <w:rPr>
          <w:rFonts w:hAnsi="宋体" w:hint="eastAsia"/>
          <w:szCs w:val="21"/>
        </w:rPr>
      </w:pPr>
      <w:bookmarkStart w:id="0" w:name="_GoBack"/>
      <w:bookmarkEnd w:id="0"/>
    </w:p>
    <w:p w:rsidR="00BE4FC2" w:rsidRDefault="00BE4FC2" w:rsidP="00BE4FC2">
      <w:pPr>
        <w:rPr>
          <w:rFonts w:hAnsi="宋体" w:hint="eastAsia"/>
          <w:szCs w:val="21"/>
        </w:rPr>
      </w:pPr>
    </w:p>
    <w:p w:rsidR="00BE4FC2" w:rsidRDefault="00BE4FC2" w:rsidP="00BE4FC2">
      <w:pPr>
        <w:rPr>
          <w:rFonts w:hAnsi="宋体" w:hint="eastAsia"/>
          <w:szCs w:val="21"/>
        </w:rPr>
      </w:pPr>
    </w:p>
    <w:p w:rsidR="00BE4FC2" w:rsidRDefault="00BE4FC2" w:rsidP="00BE4FC2">
      <w:pPr>
        <w:rPr>
          <w:rFonts w:hAnsi="宋体" w:hint="eastAsia"/>
          <w:szCs w:val="21"/>
        </w:rPr>
      </w:pPr>
    </w:p>
    <w:p w:rsidR="00BE4FC2" w:rsidRDefault="00BE4FC2" w:rsidP="00BE4FC2">
      <w:pPr>
        <w:rPr>
          <w:rFonts w:hAnsi="宋体" w:hint="eastAsia"/>
          <w:szCs w:val="21"/>
        </w:rPr>
      </w:pPr>
    </w:p>
    <w:p w:rsidR="00BE4FC2" w:rsidRPr="00241557" w:rsidRDefault="00BE4FC2" w:rsidP="00BE4FC2">
      <w:pPr>
        <w:spacing w:line="400" w:lineRule="exact"/>
        <w:jc w:val="left"/>
        <w:rPr>
          <w:b/>
          <w:color w:val="000000"/>
          <w:sz w:val="32"/>
          <w:szCs w:val="32"/>
        </w:rPr>
      </w:pPr>
      <w:r w:rsidRPr="00E80C58">
        <w:rPr>
          <w:rFonts w:hAnsi="宋体"/>
          <w:szCs w:val="21"/>
        </w:rPr>
        <w:lastRenderedPageBreak/>
        <w:t>附件</w:t>
      </w:r>
      <w:r w:rsidRPr="00E80C58">
        <w:rPr>
          <w:szCs w:val="21"/>
        </w:rPr>
        <w:t xml:space="preserve">2 </w:t>
      </w:r>
      <w:r w:rsidRPr="00E80C58">
        <w:rPr>
          <w:rFonts w:hAnsi="宋体"/>
          <w:szCs w:val="21"/>
        </w:rPr>
        <w:t>货物技术规格</w:t>
      </w:r>
      <w:r w:rsidRPr="00E80C58">
        <w:rPr>
          <w:szCs w:val="21"/>
        </w:rPr>
        <w:t xml:space="preserve">          </w:t>
      </w:r>
      <w:r>
        <w:rPr>
          <w:rFonts w:hint="eastAsia"/>
          <w:szCs w:val="21"/>
        </w:rPr>
        <w:t xml:space="preserve">    </w:t>
      </w:r>
      <w:r w:rsidRPr="00241557">
        <w:rPr>
          <w:b/>
          <w:color w:val="000000"/>
          <w:sz w:val="32"/>
          <w:szCs w:val="32"/>
        </w:rPr>
        <w:t>货物技术规格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280"/>
      </w:tblGrid>
      <w:tr w:rsidR="00BE4FC2" w:rsidRPr="00241557" w:rsidTr="00FF06A5">
        <w:trPr>
          <w:tblHeader/>
        </w:trPr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E4FC2" w:rsidRPr="00241557" w:rsidRDefault="00BE4FC2" w:rsidP="00FF06A5">
            <w:pPr>
              <w:snapToGrid w:val="0"/>
              <w:jc w:val="center"/>
              <w:rPr>
                <w:b/>
                <w:color w:val="000000"/>
                <w:szCs w:val="21"/>
              </w:rPr>
            </w:pPr>
            <w:r w:rsidRPr="00241557">
              <w:rPr>
                <w:rFonts w:hAnsi="宋体"/>
                <w:b/>
                <w:color w:val="000000"/>
                <w:szCs w:val="21"/>
              </w:rPr>
              <w:t>序号</w:t>
            </w:r>
          </w:p>
        </w:tc>
        <w:tc>
          <w:tcPr>
            <w:tcW w:w="82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E4FC2" w:rsidRPr="00241557" w:rsidRDefault="00BE4FC2" w:rsidP="00FF06A5">
            <w:pPr>
              <w:snapToGrid w:val="0"/>
              <w:spacing w:line="400" w:lineRule="exact"/>
              <w:jc w:val="center"/>
              <w:rPr>
                <w:b/>
                <w:color w:val="000000"/>
                <w:szCs w:val="21"/>
              </w:rPr>
            </w:pPr>
            <w:r w:rsidRPr="00241557">
              <w:rPr>
                <w:rFonts w:hAnsi="宋体"/>
                <w:b/>
                <w:color w:val="000000"/>
                <w:szCs w:val="21"/>
              </w:rPr>
              <w:t>内容</w:t>
            </w:r>
          </w:p>
        </w:tc>
      </w:tr>
      <w:tr w:rsidR="00BE4FC2" w:rsidRPr="00241557" w:rsidTr="00FF06A5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4FC2" w:rsidRPr="00241557" w:rsidRDefault="00BE4FC2" w:rsidP="00FF06A5">
            <w:pPr>
              <w:snapToGrid w:val="0"/>
              <w:spacing w:line="340" w:lineRule="exact"/>
              <w:jc w:val="center"/>
              <w:rPr>
                <w:color w:val="000000"/>
                <w:szCs w:val="21"/>
              </w:rPr>
            </w:pPr>
            <w:r w:rsidRPr="00241557">
              <w:rPr>
                <w:color w:val="000000"/>
                <w:szCs w:val="21"/>
              </w:rPr>
              <w:t>1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4FC2" w:rsidRPr="00241557" w:rsidRDefault="00BE4FC2" w:rsidP="00FF06A5">
            <w:pPr>
              <w:snapToGrid w:val="0"/>
              <w:spacing w:line="400" w:lineRule="exact"/>
              <w:rPr>
                <w:color w:val="000000"/>
                <w:szCs w:val="21"/>
              </w:rPr>
            </w:pPr>
            <w:r w:rsidRPr="00241557">
              <w:rPr>
                <w:rFonts w:hAnsi="宋体"/>
                <w:color w:val="000000"/>
                <w:szCs w:val="21"/>
              </w:rPr>
              <w:t>关键技术参数和要求：</w:t>
            </w:r>
          </w:p>
        </w:tc>
      </w:tr>
      <w:tr w:rsidR="00BE4FC2" w:rsidRPr="00241557" w:rsidTr="00FF06A5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4FC2" w:rsidRPr="00241557" w:rsidRDefault="00BE4FC2" w:rsidP="00FF06A5">
            <w:pPr>
              <w:snapToGrid w:val="0"/>
              <w:spacing w:line="340" w:lineRule="exact"/>
              <w:jc w:val="center"/>
              <w:rPr>
                <w:color w:val="000000"/>
                <w:szCs w:val="21"/>
              </w:rPr>
            </w:pPr>
            <w:r w:rsidRPr="00241557">
              <w:rPr>
                <w:color w:val="000000"/>
                <w:szCs w:val="21"/>
              </w:rPr>
              <w:t>1.1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</w:tcPr>
          <w:p w:rsidR="00BE4FC2" w:rsidRPr="00241557" w:rsidRDefault="00BE4FC2" w:rsidP="00FF06A5">
            <w:pPr>
              <w:snapToGrid w:val="0"/>
              <w:spacing w:line="340" w:lineRule="exact"/>
              <w:rPr>
                <w:color w:val="000000"/>
                <w:szCs w:val="21"/>
              </w:rPr>
            </w:pPr>
            <w:r w:rsidRPr="00241557">
              <w:rPr>
                <w:rFonts w:hAnsi="宋体"/>
                <w:b/>
                <w:color w:val="000000"/>
                <w:szCs w:val="21"/>
              </w:rPr>
              <w:t>如装置规模、原料要求、工艺条件等</w:t>
            </w:r>
          </w:p>
          <w:p w:rsidR="00BE4FC2" w:rsidRPr="008A27E8" w:rsidRDefault="00BE4FC2" w:rsidP="00FF06A5">
            <w:pPr>
              <w:pStyle w:val="ListParagraph"/>
              <w:spacing w:line="340" w:lineRule="exact"/>
              <w:ind w:left="315" w:hangingChars="150" w:hanging="315"/>
            </w:pPr>
            <w:r>
              <w:t>1</w:t>
            </w:r>
            <w:r>
              <w:t>、</w:t>
            </w:r>
            <w:r w:rsidRPr="00241557">
              <w:rPr>
                <w:rFonts w:hAnsi="宋体"/>
              </w:rPr>
              <w:t>装置规模：</w:t>
            </w:r>
            <w:r w:rsidRPr="008A27E8">
              <w:rPr>
                <w:rFonts w:hAnsi="宋体"/>
              </w:rPr>
              <w:t>含硫污水汽提装置尾气脱臭单元</w:t>
            </w:r>
            <w:r w:rsidRPr="00E07FB4">
              <w:rPr>
                <w:rFonts w:hAnsi="宋体"/>
              </w:rPr>
              <w:t>设计</w:t>
            </w:r>
            <w:r w:rsidRPr="008A27E8">
              <w:rPr>
                <w:rFonts w:hAnsi="宋体"/>
              </w:rPr>
              <w:t>处理量</w:t>
            </w:r>
            <w:r w:rsidRPr="00E07FB4">
              <w:rPr>
                <w:rFonts w:hAnsi="宋体"/>
              </w:rPr>
              <w:t>1200m3/h</w:t>
            </w:r>
            <w:r w:rsidRPr="008A27E8">
              <w:rPr>
                <w:rFonts w:hAnsi="宋体"/>
              </w:rPr>
              <w:t>，操作弹性</w:t>
            </w:r>
            <w:r w:rsidRPr="00E07FB4">
              <w:rPr>
                <w:rFonts w:hAnsi="宋体"/>
              </w:rPr>
              <w:t>60%-110%</w:t>
            </w:r>
            <w:r w:rsidRPr="008A27E8">
              <w:rPr>
                <w:rFonts w:hAnsi="宋体"/>
              </w:rPr>
              <w:t>，运转周期为</w:t>
            </w:r>
            <w:r w:rsidRPr="008A27E8">
              <w:t>3</w:t>
            </w:r>
            <w:r w:rsidRPr="008A27E8">
              <w:rPr>
                <w:rFonts w:hAnsi="宋体"/>
              </w:rPr>
              <w:t>年。</w:t>
            </w:r>
          </w:p>
          <w:p w:rsidR="00BE4FC2" w:rsidRPr="008A27E8" w:rsidRDefault="00BE4FC2" w:rsidP="00FF06A5">
            <w:pPr>
              <w:pStyle w:val="ListParagraph"/>
              <w:spacing w:line="340" w:lineRule="exact"/>
              <w:ind w:left="315" w:hangingChars="150" w:hanging="315"/>
            </w:pPr>
            <w:r w:rsidRPr="008A27E8">
              <w:t>2</w:t>
            </w:r>
            <w:r w:rsidRPr="008A27E8">
              <w:rPr>
                <w:rFonts w:hAnsi="宋体"/>
              </w:rPr>
              <w:t>、装置工艺：各上游炼油装置如蒸馏、催化、焦化等装置产生的含硫污水进入两套含硫污水汽提装置，处理能力分别为</w:t>
            </w:r>
            <w:r w:rsidRPr="008A27E8">
              <w:t>120t/h</w:t>
            </w:r>
            <w:r w:rsidRPr="008A27E8">
              <w:rPr>
                <w:rFonts w:hAnsi="宋体"/>
              </w:rPr>
              <w:t>和</w:t>
            </w:r>
            <w:r w:rsidRPr="008A27E8">
              <w:t>140t/h</w:t>
            </w:r>
            <w:r w:rsidRPr="008A27E8">
              <w:rPr>
                <w:rFonts w:hAnsi="宋体"/>
              </w:rPr>
              <w:t>，两套装置的含硫污水原料罐、脱气</w:t>
            </w:r>
            <w:proofErr w:type="gramStart"/>
            <w:r w:rsidRPr="008A27E8">
              <w:rPr>
                <w:rFonts w:hAnsi="宋体"/>
              </w:rPr>
              <w:t>罐产生</w:t>
            </w:r>
            <w:proofErr w:type="gramEnd"/>
            <w:r w:rsidRPr="008A27E8">
              <w:rPr>
                <w:rFonts w:hAnsi="宋体"/>
              </w:rPr>
              <w:t>的恶臭气体，由含硫污水尾气脱臭单元喷射设备产生负压引入装置脱臭系统，经水洗脱氨、两级脱臭旋流塔中尾气吸收剂吸收去除尾气中的氨和恶臭成分，余气引入放空烟囱。用于脱臭的水和尾气吸收剂饱和后进行更换，脱臭产生的废水、废剂返回至含硫污水罐。</w:t>
            </w:r>
          </w:p>
          <w:p w:rsidR="00BE4FC2" w:rsidRPr="00241557" w:rsidRDefault="00BE4FC2" w:rsidP="00FF06A5">
            <w:pPr>
              <w:pStyle w:val="ListParagraph"/>
              <w:spacing w:line="340" w:lineRule="exact"/>
              <w:ind w:left="315" w:hangingChars="150" w:hanging="315"/>
            </w:pPr>
            <w:r w:rsidRPr="008A27E8">
              <w:t>3</w:t>
            </w:r>
            <w:r w:rsidRPr="008A27E8">
              <w:rPr>
                <w:rFonts w:hAnsi="宋体"/>
              </w:rPr>
              <w:t>、目前原料性质及组成：尾气量</w:t>
            </w:r>
            <w:r w:rsidRPr="008A27E8">
              <w:t>≤</w:t>
            </w:r>
            <w:r w:rsidRPr="008A27E8">
              <w:t>1200m</w:t>
            </w:r>
            <w:r w:rsidRPr="008A27E8">
              <w:rPr>
                <w:vertAlign w:val="superscript"/>
              </w:rPr>
              <w:t>3</w:t>
            </w:r>
            <w:r w:rsidRPr="008A27E8">
              <w:t>/h</w:t>
            </w:r>
            <w:r w:rsidRPr="008A27E8">
              <w:rPr>
                <w:rFonts w:hAnsi="宋体"/>
              </w:rPr>
              <w:t>，</w:t>
            </w:r>
            <w:r w:rsidRPr="008A27E8">
              <w:t>H</w:t>
            </w:r>
            <w:r w:rsidRPr="008A27E8">
              <w:rPr>
                <w:vertAlign w:val="subscript"/>
              </w:rPr>
              <w:t>2</w:t>
            </w:r>
            <w:r w:rsidRPr="008A27E8">
              <w:t>S</w:t>
            </w:r>
            <w:r w:rsidRPr="008A27E8">
              <w:rPr>
                <w:rFonts w:hAnsi="宋体"/>
              </w:rPr>
              <w:t>含量为</w:t>
            </w:r>
            <w:r w:rsidRPr="008A27E8">
              <w:t>3000</w:t>
            </w:r>
            <w:r w:rsidRPr="008A27E8">
              <w:rPr>
                <w:rFonts w:hAnsi="宋体"/>
              </w:rPr>
              <w:t>～</w:t>
            </w:r>
            <w:r w:rsidRPr="008A27E8">
              <w:t>15000mg/m</w:t>
            </w:r>
            <w:r w:rsidRPr="008A27E8">
              <w:rPr>
                <w:vertAlign w:val="superscript"/>
              </w:rPr>
              <w:t>3</w:t>
            </w:r>
            <w:r w:rsidRPr="008A27E8">
              <w:t xml:space="preserve"> </w:t>
            </w:r>
            <w:r w:rsidRPr="008A27E8">
              <w:t>，</w:t>
            </w:r>
            <w:r w:rsidRPr="008A27E8">
              <w:rPr>
                <w:rFonts w:hAnsi="宋体"/>
              </w:rPr>
              <w:t>其</w:t>
            </w:r>
            <w:r w:rsidRPr="00241557">
              <w:rPr>
                <w:rFonts w:hAnsi="宋体"/>
              </w:rPr>
              <w:t>它指标以实际分析为准。</w:t>
            </w:r>
          </w:p>
          <w:p w:rsidR="00BE4FC2" w:rsidRPr="00241557" w:rsidRDefault="00BE4FC2" w:rsidP="00FF06A5">
            <w:pPr>
              <w:pStyle w:val="ListParagraph"/>
              <w:spacing w:line="340" w:lineRule="exact"/>
              <w:ind w:left="315" w:hangingChars="150" w:hanging="315"/>
              <w:rPr>
                <w:color w:val="000000"/>
              </w:rPr>
            </w:pPr>
            <w:r w:rsidRPr="00241557">
              <w:t>4</w:t>
            </w:r>
            <w:r w:rsidRPr="00241557">
              <w:rPr>
                <w:rFonts w:hAnsi="宋体"/>
              </w:rPr>
              <w:t>、主要操作条件：含硫污水原料</w:t>
            </w:r>
            <w:proofErr w:type="gramStart"/>
            <w:r w:rsidRPr="00241557">
              <w:rPr>
                <w:rFonts w:hAnsi="宋体"/>
              </w:rPr>
              <w:t>罐压力</w:t>
            </w:r>
            <w:proofErr w:type="gramEnd"/>
            <w:r w:rsidRPr="00241557">
              <w:t>≤</w:t>
            </w:r>
            <w:r w:rsidRPr="00241557">
              <w:t>0.5KPa</w:t>
            </w:r>
            <w:r w:rsidRPr="00241557">
              <w:rPr>
                <w:rFonts w:hAnsi="宋体"/>
              </w:rPr>
              <w:t>，脱气</w:t>
            </w:r>
            <w:proofErr w:type="gramStart"/>
            <w:r w:rsidRPr="00241557">
              <w:rPr>
                <w:rFonts w:hAnsi="宋体"/>
              </w:rPr>
              <w:t>罐压力</w:t>
            </w:r>
            <w:proofErr w:type="gramEnd"/>
            <w:r w:rsidRPr="00241557">
              <w:t>≤</w:t>
            </w:r>
            <w:r w:rsidRPr="00241557">
              <w:t>0.2Mpa</w:t>
            </w:r>
            <w:r w:rsidRPr="00241557">
              <w:rPr>
                <w:rFonts w:hAnsi="宋体"/>
              </w:rPr>
              <w:t>，脱臭旋流塔操作温度：常温，压力随来量变化。</w:t>
            </w:r>
          </w:p>
        </w:tc>
      </w:tr>
      <w:tr w:rsidR="00BE4FC2" w:rsidRPr="00241557" w:rsidTr="00FF06A5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4FC2" w:rsidRPr="00241557" w:rsidRDefault="00BE4FC2" w:rsidP="00FF06A5">
            <w:pPr>
              <w:snapToGrid w:val="0"/>
              <w:spacing w:line="340" w:lineRule="exact"/>
              <w:jc w:val="center"/>
              <w:rPr>
                <w:color w:val="000000"/>
                <w:szCs w:val="21"/>
              </w:rPr>
            </w:pPr>
            <w:r w:rsidRPr="00241557">
              <w:rPr>
                <w:color w:val="000000"/>
                <w:szCs w:val="21"/>
              </w:rPr>
              <w:t>1.2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</w:tcPr>
          <w:p w:rsidR="00BE4FC2" w:rsidRPr="00241557" w:rsidRDefault="00BE4FC2" w:rsidP="00FF06A5">
            <w:pPr>
              <w:snapToGrid w:val="0"/>
              <w:spacing w:line="340" w:lineRule="exact"/>
              <w:rPr>
                <w:b/>
                <w:color w:val="000000"/>
                <w:szCs w:val="21"/>
              </w:rPr>
            </w:pPr>
            <w:r w:rsidRPr="00241557">
              <w:rPr>
                <w:rFonts w:hAnsi="宋体"/>
                <w:b/>
                <w:color w:val="000000"/>
                <w:szCs w:val="21"/>
              </w:rPr>
              <w:t>货物技术规格</w:t>
            </w:r>
          </w:p>
          <w:p w:rsidR="00BE4FC2" w:rsidRPr="00241557" w:rsidRDefault="00BE4FC2" w:rsidP="00BE4FC2">
            <w:pPr>
              <w:pStyle w:val="ListParagraph"/>
              <w:widowControl w:val="0"/>
              <w:numPr>
                <w:ilvl w:val="0"/>
                <w:numId w:val="1"/>
              </w:numPr>
              <w:spacing w:line="340" w:lineRule="exact"/>
              <w:ind w:firstLineChars="0"/>
            </w:pPr>
            <w:r w:rsidRPr="00241557">
              <w:rPr>
                <w:rFonts w:hAnsi="宋体"/>
              </w:rPr>
              <w:t>外观：乳白色至黄绿色液体；</w:t>
            </w:r>
          </w:p>
          <w:p w:rsidR="00BE4FC2" w:rsidRPr="00241557" w:rsidRDefault="00BE4FC2" w:rsidP="00BE4FC2">
            <w:pPr>
              <w:pStyle w:val="ListParagraph"/>
              <w:widowControl w:val="0"/>
              <w:numPr>
                <w:ilvl w:val="0"/>
                <w:numId w:val="1"/>
              </w:numPr>
              <w:spacing w:line="340" w:lineRule="exact"/>
              <w:ind w:firstLineChars="0"/>
            </w:pPr>
            <w:r w:rsidRPr="00241557">
              <w:t>PH</w:t>
            </w:r>
            <w:r w:rsidRPr="00241557">
              <w:rPr>
                <w:rFonts w:hAnsi="宋体"/>
              </w:rPr>
              <w:t>值：</w:t>
            </w:r>
            <w:r w:rsidRPr="00241557">
              <w:t>≥</w:t>
            </w:r>
            <w:r w:rsidRPr="00241557">
              <w:t>12</w:t>
            </w:r>
            <w:r w:rsidRPr="00241557">
              <w:rPr>
                <w:rFonts w:hAnsi="宋体"/>
              </w:rPr>
              <w:t>；</w:t>
            </w:r>
          </w:p>
          <w:p w:rsidR="00BE4FC2" w:rsidRPr="00241557" w:rsidRDefault="00BE4FC2" w:rsidP="00BE4FC2">
            <w:pPr>
              <w:pStyle w:val="ListParagraph"/>
              <w:widowControl w:val="0"/>
              <w:numPr>
                <w:ilvl w:val="0"/>
                <w:numId w:val="1"/>
              </w:numPr>
              <w:spacing w:line="340" w:lineRule="exact"/>
              <w:ind w:firstLineChars="0"/>
            </w:pPr>
            <w:r w:rsidRPr="00241557">
              <w:rPr>
                <w:rFonts w:hAnsi="宋体"/>
              </w:rPr>
              <w:t>密度（</w:t>
            </w:r>
            <w:r w:rsidRPr="00241557">
              <w:t>20</w:t>
            </w:r>
            <w:r w:rsidRPr="00241557">
              <w:rPr>
                <w:rFonts w:hAnsi="宋体"/>
              </w:rPr>
              <w:t>℃）：</w:t>
            </w:r>
            <w:r w:rsidRPr="00241557">
              <w:t>1.0</w:t>
            </w:r>
            <w:r w:rsidRPr="00241557">
              <w:rPr>
                <w:rFonts w:hAnsi="宋体"/>
              </w:rPr>
              <w:t>～</w:t>
            </w:r>
            <w:r w:rsidRPr="00241557">
              <w:t>1.4g/cm</w:t>
            </w:r>
            <w:r w:rsidRPr="00241557">
              <w:rPr>
                <w:vertAlign w:val="superscript"/>
              </w:rPr>
              <w:t>3</w:t>
            </w:r>
            <w:r w:rsidRPr="00241557">
              <w:rPr>
                <w:rFonts w:hAnsi="宋体"/>
              </w:rPr>
              <w:t>；</w:t>
            </w:r>
          </w:p>
          <w:p w:rsidR="00BE4FC2" w:rsidRPr="00241557" w:rsidRDefault="00BE4FC2" w:rsidP="00BE4FC2">
            <w:pPr>
              <w:pStyle w:val="ListParagraph"/>
              <w:widowControl w:val="0"/>
              <w:numPr>
                <w:ilvl w:val="0"/>
                <w:numId w:val="1"/>
              </w:numPr>
              <w:spacing w:line="340" w:lineRule="exact"/>
              <w:ind w:firstLineChars="0"/>
            </w:pPr>
            <w:r w:rsidRPr="00241557">
              <w:rPr>
                <w:rFonts w:hAnsi="宋体"/>
              </w:rPr>
              <w:t>溶解性：与水互溶；</w:t>
            </w:r>
          </w:p>
          <w:p w:rsidR="00BE4FC2" w:rsidRPr="00241557" w:rsidRDefault="00BE4FC2" w:rsidP="00BE4FC2">
            <w:pPr>
              <w:pStyle w:val="ListParagraph"/>
              <w:widowControl w:val="0"/>
              <w:numPr>
                <w:ilvl w:val="0"/>
                <w:numId w:val="1"/>
              </w:numPr>
              <w:spacing w:line="340" w:lineRule="exact"/>
              <w:ind w:firstLineChars="0"/>
            </w:pPr>
            <w:r w:rsidRPr="00241557">
              <w:rPr>
                <w:rFonts w:hAnsi="宋体"/>
              </w:rPr>
              <w:t>闪点：</w:t>
            </w:r>
            <w:r w:rsidRPr="00241557">
              <w:t>≥</w:t>
            </w:r>
            <w:r w:rsidRPr="00241557">
              <w:t>60</w:t>
            </w:r>
            <w:r w:rsidRPr="00241557">
              <w:rPr>
                <w:rFonts w:hAnsi="宋体"/>
              </w:rPr>
              <w:t>℃；</w:t>
            </w:r>
          </w:p>
          <w:p w:rsidR="00BE4FC2" w:rsidRPr="00241557" w:rsidRDefault="00BE4FC2" w:rsidP="00BE4FC2">
            <w:pPr>
              <w:pStyle w:val="ListParagraph"/>
              <w:widowControl w:val="0"/>
              <w:numPr>
                <w:ilvl w:val="0"/>
                <w:numId w:val="1"/>
              </w:numPr>
              <w:spacing w:line="340" w:lineRule="exact"/>
              <w:ind w:firstLineChars="0"/>
            </w:pPr>
            <w:r w:rsidRPr="00241557">
              <w:rPr>
                <w:rFonts w:hAnsi="宋体"/>
              </w:rPr>
              <w:t>凝点：</w:t>
            </w:r>
            <w:r w:rsidRPr="00241557">
              <w:t>≤</w:t>
            </w:r>
            <w:r w:rsidRPr="00241557">
              <w:t>-7</w:t>
            </w:r>
            <w:r w:rsidRPr="00241557">
              <w:rPr>
                <w:rFonts w:hAnsi="宋体"/>
              </w:rPr>
              <w:t>℃（冬季</w:t>
            </w:r>
            <w:r w:rsidRPr="00241557">
              <w:t>≤</w:t>
            </w:r>
            <w:r w:rsidRPr="00241557">
              <w:t>-30</w:t>
            </w:r>
            <w:r w:rsidRPr="00241557">
              <w:rPr>
                <w:rFonts w:hAnsi="宋体"/>
              </w:rPr>
              <w:t>℃）；</w:t>
            </w:r>
          </w:p>
          <w:p w:rsidR="00BE4FC2" w:rsidRPr="00241557" w:rsidRDefault="00BE4FC2" w:rsidP="00BE4FC2">
            <w:pPr>
              <w:pStyle w:val="ListParagraph"/>
              <w:widowControl w:val="0"/>
              <w:numPr>
                <w:ilvl w:val="0"/>
                <w:numId w:val="1"/>
              </w:numPr>
              <w:spacing w:line="340" w:lineRule="exact"/>
              <w:ind w:firstLineChars="0"/>
            </w:pPr>
            <w:proofErr w:type="gramStart"/>
            <w:r w:rsidRPr="00241557">
              <w:rPr>
                <w:rFonts w:hAnsi="宋体"/>
              </w:rPr>
              <w:t>硫容</w:t>
            </w:r>
            <w:proofErr w:type="gramEnd"/>
            <w:r w:rsidRPr="00241557">
              <w:t>≥</w:t>
            </w:r>
            <w:r w:rsidRPr="00241557">
              <w:t>45</w:t>
            </w:r>
            <w:r w:rsidRPr="00241557">
              <w:rPr>
                <w:color w:val="000000"/>
                <w:sz w:val="24"/>
                <w:szCs w:val="24"/>
              </w:rPr>
              <w:t>g/kg</w:t>
            </w:r>
            <w:r w:rsidRPr="00241557">
              <w:rPr>
                <w:rFonts w:hAnsi="宋体"/>
              </w:rPr>
              <w:t>。</w:t>
            </w:r>
          </w:p>
        </w:tc>
      </w:tr>
      <w:tr w:rsidR="00BE4FC2" w:rsidRPr="00241557" w:rsidTr="00FF06A5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4FC2" w:rsidRPr="00241557" w:rsidRDefault="00BE4FC2" w:rsidP="00FF06A5">
            <w:pPr>
              <w:snapToGrid w:val="0"/>
              <w:spacing w:line="340" w:lineRule="exact"/>
              <w:jc w:val="center"/>
              <w:rPr>
                <w:color w:val="000000"/>
                <w:szCs w:val="21"/>
              </w:rPr>
            </w:pPr>
            <w:r w:rsidRPr="00241557">
              <w:rPr>
                <w:color w:val="000000"/>
                <w:szCs w:val="21"/>
              </w:rPr>
              <w:t>1.3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</w:tcPr>
          <w:p w:rsidR="00BE4FC2" w:rsidRPr="00241557" w:rsidRDefault="00BE4FC2" w:rsidP="00FF06A5">
            <w:pPr>
              <w:pStyle w:val="ListParagraph"/>
              <w:spacing w:line="340" w:lineRule="exact"/>
              <w:ind w:firstLineChars="0" w:firstLine="0"/>
              <w:rPr>
                <w:b/>
              </w:rPr>
            </w:pPr>
            <w:r w:rsidRPr="00241557">
              <w:rPr>
                <w:b/>
              </w:rPr>
              <w:t>货物性能保证要求</w:t>
            </w:r>
          </w:p>
          <w:p w:rsidR="00BE4FC2" w:rsidRPr="00241557" w:rsidRDefault="00BE4FC2" w:rsidP="00FF06A5">
            <w:pPr>
              <w:pStyle w:val="ListParagraph"/>
              <w:spacing w:line="340" w:lineRule="exact"/>
              <w:ind w:firstLineChars="0" w:firstLine="0"/>
            </w:pPr>
            <w:r w:rsidRPr="00241557">
              <w:t>1</w:t>
            </w:r>
            <w:r w:rsidRPr="00241557">
              <w:rPr>
                <w:rFonts w:hAnsi="宋体"/>
              </w:rPr>
              <w:t>、</w:t>
            </w:r>
            <w:r w:rsidRPr="00241557">
              <w:t>H</w:t>
            </w:r>
            <w:r w:rsidRPr="00241557">
              <w:rPr>
                <w:vertAlign w:val="subscript"/>
              </w:rPr>
              <w:t>2</w:t>
            </w:r>
            <w:r w:rsidRPr="00241557">
              <w:t>S</w:t>
            </w:r>
            <w:proofErr w:type="gramStart"/>
            <w:r w:rsidRPr="00241557">
              <w:rPr>
                <w:rFonts w:hAnsi="宋体"/>
              </w:rPr>
              <w:t>脱除率</w:t>
            </w:r>
            <w:proofErr w:type="gramEnd"/>
            <w:r w:rsidRPr="00241557">
              <w:rPr>
                <w:rFonts w:hAnsi="宋体"/>
              </w:rPr>
              <w:t>大于</w:t>
            </w:r>
            <w:r w:rsidRPr="00241557">
              <w:t>99%</w:t>
            </w:r>
            <w:r w:rsidRPr="00241557">
              <w:rPr>
                <w:rFonts w:hAnsi="宋体"/>
              </w:rPr>
              <w:t>，其他有机硫</w:t>
            </w:r>
            <w:proofErr w:type="gramStart"/>
            <w:r w:rsidRPr="00241557">
              <w:rPr>
                <w:rFonts w:hAnsi="宋体"/>
              </w:rPr>
              <w:t>脱除率</w:t>
            </w:r>
            <w:proofErr w:type="gramEnd"/>
            <w:r w:rsidRPr="00241557">
              <w:rPr>
                <w:rFonts w:hAnsi="宋体"/>
              </w:rPr>
              <w:t>大于</w:t>
            </w:r>
            <w:r w:rsidRPr="00241557">
              <w:t>85%</w:t>
            </w:r>
            <w:r w:rsidRPr="00241557">
              <w:rPr>
                <w:rFonts w:hAnsi="宋体"/>
              </w:rPr>
              <w:t>；</w:t>
            </w:r>
          </w:p>
          <w:p w:rsidR="00BE4FC2" w:rsidRPr="00241557" w:rsidRDefault="00BE4FC2" w:rsidP="00FF06A5">
            <w:pPr>
              <w:pStyle w:val="ListParagraph"/>
              <w:spacing w:line="340" w:lineRule="exact"/>
              <w:ind w:left="315" w:hangingChars="150" w:hanging="315"/>
            </w:pPr>
            <w:r w:rsidRPr="00241557">
              <w:t>2</w:t>
            </w:r>
            <w:r w:rsidRPr="00241557">
              <w:rPr>
                <w:rFonts w:hAnsi="宋体"/>
              </w:rPr>
              <w:t>、尾气出口</w:t>
            </w:r>
            <w:r w:rsidRPr="00241557">
              <w:t>H</w:t>
            </w:r>
            <w:r w:rsidRPr="00241557">
              <w:rPr>
                <w:vertAlign w:val="subscript"/>
              </w:rPr>
              <w:t>2</w:t>
            </w:r>
            <w:r w:rsidRPr="00241557">
              <w:t>S</w:t>
            </w:r>
            <w:r w:rsidRPr="00241557">
              <w:rPr>
                <w:rFonts w:hAnsi="宋体"/>
              </w:rPr>
              <w:t>含量要求</w:t>
            </w:r>
            <w:r w:rsidRPr="00241557">
              <w:t>≤</w:t>
            </w:r>
            <w:r w:rsidRPr="00241557">
              <w:t>10 mg/m</w:t>
            </w:r>
            <w:r w:rsidRPr="00241557">
              <w:rPr>
                <w:vertAlign w:val="superscript"/>
              </w:rPr>
              <w:t>3</w:t>
            </w:r>
            <w:r w:rsidRPr="00241557">
              <w:rPr>
                <w:rFonts w:hAnsi="宋体"/>
              </w:rPr>
              <w:t>（日常控制</w:t>
            </w:r>
            <w:r w:rsidRPr="00241557">
              <w:t>≤</w:t>
            </w:r>
            <w:r w:rsidRPr="00241557">
              <w:t>5 mg/m</w:t>
            </w:r>
            <w:r w:rsidRPr="00241557">
              <w:rPr>
                <w:vertAlign w:val="superscript"/>
              </w:rPr>
              <w:t>3</w:t>
            </w:r>
            <w:r w:rsidRPr="00241557">
              <w:rPr>
                <w:rFonts w:hAnsi="宋体"/>
              </w:rPr>
              <w:t>），若尾气出口</w:t>
            </w:r>
            <w:r w:rsidRPr="00241557">
              <w:t>H</w:t>
            </w:r>
            <w:r w:rsidRPr="00241557">
              <w:rPr>
                <w:vertAlign w:val="subscript"/>
              </w:rPr>
              <w:t>2</w:t>
            </w:r>
            <w:r w:rsidRPr="00241557">
              <w:t>S</w:t>
            </w:r>
            <w:r w:rsidRPr="00241557">
              <w:rPr>
                <w:rFonts w:hAnsi="宋体"/>
              </w:rPr>
              <w:t>含量连续</w:t>
            </w:r>
            <w:r w:rsidRPr="00241557">
              <w:t>3</w:t>
            </w:r>
            <w:r w:rsidRPr="00241557">
              <w:rPr>
                <w:rFonts w:hAnsi="宋体"/>
              </w:rPr>
              <w:t>次超过</w:t>
            </w:r>
            <w:r w:rsidRPr="00241557">
              <w:t>5 mg/m</w:t>
            </w:r>
            <w:r w:rsidRPr="00241557">
              <w:rPr>
                <w:vertAlign w:val="superscript"/>
              </w:rPr>
              <w:t>3</w:t>
            </w:r>
            <w:r w:rsidRPr="00241557">
              <w:rPr>
                <w:rFonts w:hAnsi="宋体"/>
              </w:rPr>
              <w:t>时，更换含硫尾气吸收剂。</w:t>
            </w:r>
          </w:p>
          <w:p w:rsidR="00BE4FC2" w:rsidRPr="00241557" w:rsidRDefault="00BE4FC2" w:rsidP="00FF06A5">
            <w:pPr>
              <w:pStyle w:val="ListParagraph"/>
              <w:spacing w:line="340" w:lineRule="exact"/>
              <w:ind w:left="315" w:hangingChars="150" w:hanging="315"/>
            </w:pPr>
            <w:r w:rsidRPr="00241557">
              <w:t>3</w:t>
            </w:r>
            <w:r w:rsidRPr="00241557">
              <w:rPr>
                <w:rFonts w:hAnsi="宋体"/>
              </w:rPr>
              <w:t>、尾气吸收剂不会对含硫污水汽提装置生产造成影响，不会腐蚀流经管线及设备，不能影响装置及下游装置的安全、环保及稳定运行。</w:t>
            </w:r>
          </w:p>
          <w:p w:rsidR="00BE4FC2" w:rsidRPr="00241557" w:rsidRDefault="00BE4FC2" w:rsidP="00FF06A5">
            <w:pPr>
              <w:pStyle w:val="ListParagraph"/>
              <w:spacing w:line="340" w:lineRule="exact"/>
              <w:ind w:firstLineChars="0" w:firstLine="0"/>
            </w:pPr>
            <w:r w:rsidRPr="00241557">
              <w:t>4</w:t>
            </w:r>
            <w:r w:rsidRPr="00241557">
              <w:rPr>
                <w:rFonts w:hAnsi="宋体"/>
              </w:rPr>
              <w:t>、质保期不低于</w:t>
            </w:r>
            <w:r w:rsidRPr="00241557">
              <w:t>12</w:t>
            </w:r>
            <w:r w:rsidRPr="00241557">
              <w:rPr>
                <w:rFonts w:hAnsi="宋体"/>
              </w:rPr>
              <w:t>个月</w:t>
            </w:r>
            <w:r w:rsidRPr="00241557">
              <w:t>。</w:t>
            </w:r>
          </w:p>
        </w:tc>
      </w:tr>
    </w:tbl>
    <w:p w:rsidR="00BE4FC2" w:rsidRDefault="00BE4FC2" w:rsidP="00BE4FC2">
      <w:pPr>
        <w:jc w:val="center"/>
        <w:rPr>
          <w:rFonts w:hint="eastAsia"/>
          <w:color w:val="000000"/>
          <w:szCs w:val="21"/>
        </w:rPr>
      </w:pPr>
    </w:p>
    <w:p w:rsidR="00BE4FC2" w:rsidRDefault="00BE4FC2" w:rsidP="00BE4FC2">
      <w:pPr>
        <w:jc w:val="center"/>
        <w:rPr>
          <w:rFonts w:hint="eastAsia"/>
          <w:color w:val="000000"/>
          <w:szCs w:val="21"/>
        </w:rPr>
      </w:pPr>
    </w:p>
    <w:p w:rsidR="00BE4FC2" w:rsidRDefault="00BE4FC2" w:rsidP="00BE4FC2">
      <w:pPr>
        <w:jc w:val="center"/>
        <w:rPr>
          <w:rFonts w:hint="eastAsia"/>
          <w:color w:val="000000"/>
          <w:szCs w:val="21"/>
        </w:rPr>
      </w:pPr>
    </w:p>
    <w:p w:rsidR="00BE4FC2" w:rsidRDefault="00BE4FC2" w:rsidP="00BE4FC2">
      <w:pPr>
        <w:jc w:val="center"/>
        <w:rPr>
          <w:rFonts w:hint="eastAsia"/>
          <w:color w:val="000000"/>
          <w:szCs w:val="21"/>
        </w:rPr>
      </w:pPr>
    </w:p>
    <w:p w:rsidR="00BE4FC2" w:rsidRDefault="00BE4FC2" w:rsidP="00BE4FC2">
      <w:pPr>
        <w:jc w:val="center"/>
        <w:rPr>
          <w:rFonts w:hint="eastAsia"/>
          <w:color w:val="000000"/>
          <w:szCs w:val="21"/>
        </w:rPr>
      </w:pPr>
    </w:p>
    <w:p w:rsidR="00F20B99" w:rsidRPr="00BE4FC2" w:rsidRDefault="00F20B99"/>
    <w:sectPr w:rsidR="00F20B99" w:rsidRPr="00BE4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DC4" w:rsidRDefault="00AD7DC4" w:rsidP="00BE4FC2">
      <w:r>
        <w:separator/>
      </w:r>
    </w:p>
  </w:endnote>
  <w:endnote w:type="continuationSeparator" w:id="0">
    <w:p w:rsidR="00AD7DC4" w:rsidRDefault="00AD7DC4" w:rsidP="00BE4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DC4" w:rsidRDefault="00AD7DC4" w:rsidP="00BE4FC2">
      <w:r>
        <w:separator/>
      </w:r>
    </w:p>
  </w:footnote>
  <w:footnote w:type="continuationSeparator" w:id="0">
    <w:p w:rsidR="00AD7DC4" w:rsidRDefault="00AD7DC4" w:rsidP="00BE4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B4EF4"/>
    <w:multiLevelType w:val="hybridMultilevel"/>
    <w:tmpl w:val="F7CA8DAC"/>
    <w:lvl w:ilvl="0" w:tplc="8694800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宋体" w:hAnsi="宋体" w:cs="Calibri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0CF"/>
    <w:rsid w:val="00AD7DC4"/>
    <w:rsid w:val="00BE4FC2"/>
    <w:rsid w:val="00DD50CF"/>
    <w:rsid w:val="00F2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C2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4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4F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4F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4FC2"/>
    <w:rPr>
      <w:sz w:val="18"/>
      <w:szCs w:val="18"/>
    </w:rPr>
  </w:style>
  <w:style w:type="paragraph" w:customStyle="1" w:styleId="ListParagraph">
    <w:name w:val="List Paragraph"/>
    <w:basedOn w:val="a"/>
    <w:rsid w:val="00BE4FC2"/>
    <w:pPr>
      <w:ind w:firstLineChars="200" w:firstLine="420"/>
    </w:pPr>
    <w:rPr>
      <w:rFonts w:hint="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C2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4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4F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4F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4FC2"/>
    <w:rPr>
      <w:sz w:val="18"/>
      <w:szCs w:val="18"/>
    </w:rPr>
  </w:style>
  <w:style w:type="paragraph" w:customStyle="1" w:styleId="ListParagraph">
    <w:name w:val="List Paragraph"/>
    <w:basedOn w:val="a"/>
    <w:rsid w:val="00BE4FC2"/>
    <w:pPr>
      <w:ind w:firstLineChars="200" w:firstLine="420"/>
    </w:pPr>
    <w:rPr>
      <w:rFonts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1381</Characters>
  <Application>Microsoft Office Word</Application>
  <DocSecurity>0</DocSecurity>
  <Lines>11</Lines>
  <Paragraphs>3</Paragraphs>
  <ScaleCrop>false</ScaleCrop>
  <Company>P R C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2017-03-15T23:50:00Z</dcterms:created>
  <dcterms:modified xsi:type="dcterms:W3CDTF">2017-03-15T23:51:00Z</dcterms:modified>
</cp:coreProperties>
</file>