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both"/>
        <w:rPr>
          <w:rFonts w:hint="eastAsia" w:ascii="宋体" w:hAnsi="宋体" w:eastAsia="宋体" w:cs="宋体"/>
          <w:b w:val="0"/>
          <w:bCs/>
          <w:sz w:val="36"/>
          <w:szCs w:val="36"/>
          <w:highlight w:val="none"/>
          <w:u w:val="none"/>
          <w:lang w:val="en-US" w:eastAsia="zh-CN"/>
        </w:rPr>
      </w:pPr>
    </w:p>
    <w:p>
      <w:pPr>
        <w:spacing w:line="1040" w:lineRule="exact"/>
        <w:jc w:val="center"/>
        <w:rPr>
          <w:rFonts w:hint="eastAsia" w:ascii="宋体" w:hAnsi="宋体" w:eastAsia="宋体" w:cs="宋体"/>
          <w:b w:val="0"/>
          <w:bCs/>
          <w:sz w:val="36"/>
          <w:szCs w:val="36"/>
          <w:highlight w:val="none"/>
          <w:u w:val="none"/>
          <w:lang w:eastAsia="zh-CN"/>
        </w:rPr>
      </w:pPr>
      <w:r>
        <w:rPr>
          <w:rFonts w:hint="eastAsia" w:ascii="宋体" w:hAnsi="宋体" w:eastAsia="宋体" w:cs="宋体"/>
          <w:b w:val="0"/>
          <w:bCs/>
          <w:sz w:val="36"/>
          <w:szCs w:val="36"/>
          <w:highlight w:val="none"/>
          <w:u w:val="none"/>
          <w:lang w:val="en-US" w:eastAsia="zh-CN"/>
        </w:rPr>
        <w:t>临沂市兰山区朱保镇卫生院医疗污水处理系统采购项目</w:t>
      </w:r>
    </w:p>
    <w:p>
      <w:pPr>
        <w:spacing w:line="1040" w:lineRule="exact"/>
        <w:jc w:val="center"/>
        <w:rPr>
          <w:rFonts w:hint="eastAsia" w:ascii="宋体" w:hAnsi="宋体"/>
          <w:b/>
          <w:sz w:val="84"/>
          <w:szCs w:val="84"/>
          <w:highlight w:val="none"/>
          <w:u w:val="double"/>
          <w:lang w:eastAsia="zh-CN"/>
        </w:rPr>
      </w:pPr>
    </w:p>
    <w:p>
      <w:pPr>
        <w:spacing w:line="1040" w:lineRule="exact"/>
        <w:jc w:val="both"/>
        <w:rPr>
          <w:rFonts w:hint="eastAsia" w:ascii="宋体" w:hAnsi="宋体" w:eastAsia="宋体" w:cs="宋体"/>
          <w:b w:val="0"/>
          <w:bCs/>
          <w:sz w:val="84"/>
          <w:szCs w:val="84"/>
          <w:highlight w:val="none"/>
          <w:u w:val="none"/>
        </w:rPr>
      </w:pPr>
      <w:r>
        <w:rPr>
          <w:rFonts w:hint="eastAsia" w:ascii="宋体" w:hAnsi="宋体" w:cs="宋体"/>
          <w:b w:val="0"/>
          <w:bCs/>
          <w:sz w:val="84"/>
          <w:szCs w:val="84"/>
          <w:highlight w:val="none"/>
          <w:u w:val="none"/>
          <w:lang w:val="en-US" w:eastAsia="zh-CN"/>
        </w:rPr>
        <w:t xml:space="preserve">      </w:t>
      </w:r>
      <w:r>
        <w:rPr>
          <w:rFonts w:hint="eastAsia" w:ascii="宋体" w:hAnsi="宋体" w:eastAsia="宋体" w:cs="宋体"/>
          <w:b w:val="0"/>
          <w:bCs/>
          <w:sz w:val="84"/>
          <w:szCs w:val="84"/>
          <w:highlight w:val="none"/>
          <w:u w:val="none"/>
          <w:lang w:eastAsia="zh-CN"/>
        </w:rPr>
        <w:t>采</w:t>
      </w:r>
      <w:r>
        <w:rPr>
          <w:rFonts w:hint="eastAsia" w:ascii="宋体" w:hAnsi="宋体" w:cs="宋体"/>
          <w:b w:val="0"/>
          <w:bCs/>
          <w:sz w:val="84"/>
          <w:szCs w:val="84"/>
          <w:highlight w:val="none"/>
          <w:u w:val="none"/>
          <w:lang w:val="en-US" w:eastAsia="zh-CN"/>
        </w:rPr>
        <w:t xml:space="preserve"> </w:t>
      </w:r>
      <w:r>
        <w:rPr>
          <w:rFonts w:hint="eastAsia" w:ascii="宋体" w:hAnsi="宋体" w:eastAsia="宋体" w:cs="宋体"/>
          <w:b w:val="0"/>
          <w:bCs/>
          <w:sz w:val="84"/>
          <w:szCs w:val="84"/>
          <w:highlight w:val="none"/>
          <w:u w:val="none"/>
          <w:lang w:eastAsia="zh-CN"/>
        </w:rPr>
        <w:t>购</w:t>
      </w:r>
      <w:r>
        <w:rPr>
          <w:rFonts w:hint="eastAsia" w:ascii="宋体" w:hAnsi="宋体" w:cs="宋体"/>
          <w:b w:val="0"/>
          <w:bCs/>
          <w:sz w:val="84"/>
          <w:szCs w:val="84"/>
          <w:highlight w:val="none"/>
          <w:u w:val="none"/>
          <w:lang w:val="en-US" w:eastAsia="zh-CN"/>
        </w:rPr>
        <w:t xml:space="preserve"> </w:t>
      </w:r>
      <w:r>
        <w:rPr>
          <w:rFonts w:hint="eastAsia" w:ascii="宋体" w:hAnsi="宋体" w:eastAsia="宋体" w:cs="宋体"/>
          <w:b w:val="0"/>
          <w:bCs/>
          <w:sz w:val="84"/>
          <w:szCs w:val="84"/>
          <w:highlight w:val="none"/>
          <w:u w:val="none"/>
        </w:rPr>
        <w:t>文</w:t>
      </w:r>
      <w:r>
        <w:rPr>
          <w:rFonts w:hint="eastAsia" w:ascii="宋体" w:hAnsi="宋体" w:cs="宋体"/>
          <w:b w:val="0"/>
          <w:bCs/>
          <w:sz w:val="84"/>
          <w:szCs w:val="84"/>
          <w:highlight w:val="none"/>
          <w:u w:val="none"/>
          <w:lang w:val="en-US" w:eastAsia="zh-CN"/>
        </w:rPr>
        <w:t xml:space="preserve"> </w:t>
      </w:r>
      <w:r>
        <w:rPr>
          <w:rFonts w:hint="eastAsia" w:ascii="宋体" w:hAnsi="宋体" w:eastAsia="宋体" w:cs="宋体"/>
          <w:b w:val="0"/>
          <w:bCs/>
          <w:sz w:val="84"/>
          <w:szCs w:val="84"/>
          <w:highlight w:val="none"/>
          <w:u w:val="none"/>
        </w:rPr>
        <w:t>件</w:t>
      </w:r>
    </w:p>
    <w:p>
      <w:pPr>
        <w:spacing w:line="400" w:lineRule="exact"/>
        <w:rPr>
          <w:rFonts w:hint="eastAsia" w:ascii="宋体" w:hAnsi="宋体"/>
          <w:b w:val="0"/>
          <w:bCs/>
          <w:sz w:val="28"/>
          <w:szCs w:val="28"/>
          <w:highlight w:val="none"/>
          <w:lang w:val="en-US"/>
        </w:rPr>
      </w:pPr>
      <w:r>
        <w:rPr>
          <w:rFonts w:hint="eastAsia" w:ascii="宋体" w:hAnsi="宋体"/>
          <w:b/>
          <w:sz w:val="28"/>
          <w:szCs w:val="28"/>
          <w:highlight w:val="none"/>
          <w:lang w:val="en-US" w:eastAsia="zh-CN"/>
        </w:rPr>
        <w:t xml:space="preserve">                     </w:t>
      </w:r>
      <w:r>
        <w:rPr>
          <w:rFonts w:hint="eastAsia" w:ascii="宋体" w:hAnsi="宋体"/>
          <w:b w:val="0"/>
          <w:bCs/>
          <w:sz w:val="28"/>
          <w:szCs w:val="28"/>
          <w:highlight w:val="none"/>
        </w:rPr>
        <w:t>项目编号：S</w:t>
      </w:r>
      <w:r>
        <w:rPr>
          <w:rFonts w:hint="eastAsia" w:ascii="宋体" w:hAnsi="宋体"/>
          <w:b w:val="0"/>
          <w:bCs/>
          <w:sz w:val="28"/>
          <w:szCs w:val="28"/>
          <w:highlight w:val="none"/>
          <w:lang w:val="zh-CN"/>
        </w:rPr>
        <w:t>D</w:t>
      </w:r>
      <w:r>
        <w:rPr>
          <w:rFonts w:hint="eastAsia" w:ascii="宋体" w:hAnsi="宋体"/>
          <w:b w:val="0"/>
          <w:bCs/>
          <w:sz w:val="28"/>
          <w:szCs w:val="28"/>
          <w:highlight w:val="none"/>
          <w:lang w:val="zh-CN" w:eastAsia="zh-CN"/>
        </w:rPr>
        <w:t>J</w:t>
      </w:r>
      <w:r>
        <w:rPr>
          <w:rFonts w:hint="eastAsia" w:ascii="宋体" w:hAnsi="宋体"/>
          <w:b w:val="0"/>
          <w:bCs/>
          <w:sz w:val="28"/>
          <w:szCs w:val="28"/>
          <w:highlight w:val="none"/>
          <w:lang w:val="zh-CN"/>
        </w:rPr>
        <w:t>Z</w:t>
      </w:r>
      <w:r>
        <w:rPr>
          <w:rFonts w:hint="eastAsia" w:ascii="宋体" w:hAnsi="宋体"/>
          <w:b w:val="0"/>
          <w:bCs/>
          <w:sz w:val="28"/>
          <w:szCs w:val="28"/>
          <w:highlight w:val="none"/>
          <w:lang w:val="zh-CN" w:eastAsia="zh-CN"/>
        </w:rPr>
        <w:t>-</w:t>
      </w:r>
      <w:r>
        <w:rPr>
          <w:rFonts w:hint="eastAsia" w:ascii="宋体" w:hAnsi="宋体"/>
          <w:b w:val="0"/>
          <w:bCs/>
          <w:sz w:val="28"/>
          <w:szCs w:val="28"/>
          <w:highlight w:val="none"/>
          <w:lang w:val="zh-CN"/>
        </w:rPr>
        <w:t>201</w:t>
      </w:r>
      <w:r>
        <w:rPr>
          <w:rFonts w:hint="eastAsia" w:ascii="宋体" w:hAnsi="宋体"/>
          <w:b w:val="0"/>
          <w:bCs/>
          <w:sz w:val="28"/>
          <w:szCs w:val="28"/>
          <w:highlight w:val="none"/>
          <w:lang w:val="zh-CN" w:eastAsia="zh-CN"/>
        </w:rPr>
        <w:t>7-CG0</w:t>
      </w:r>
      <w:r>
        <w:rPr>
          <w:rFonts w:hint="eastAsia" w:ascii="宋体" w:hAnsi="宋体"/>
          <w:b w:val="0"/>
          <w:bCs/>
          <w:sz w:val="28"/>
          <w:szCs w:val="28"/>
          <w:highlight w:val="none"/>
          <w:lang w:val="en-US" w:eastAsia="zh-CN"/>
        </w:rPr>
        <w:t>11</w:t>
      </w:r>
    </w:p>
    <w:p>
      <w:pPr>
        <w:spacing w:line="600" w:lineRule="exact"/>
        <w:ind w:left="2218" w:leftChars="299" w:hanging="1590" w:hangingChars="495"/>
        <w:rPr>
          <w:rFonts w:hint="eastAsia" w:ascii="宋体" w:hAnsi="宋体" w:eastAsia="宋体"/>
          <w:b/>
          <w:sz w:val="32"/>
          <w:highlight w:val="none"/>
          <w:lang w:val="en-US" w:eastAsia="zh-CN"/>
        </w:rPr>
      </w:pPr>
      <w:r>
        <w:rPr>
          <w:rFonts w:hint="eastAsia" w:ascii="宋体" w:hAnsi="宋体"/>
          <w:b/>
          <w:sz w:val="32"/>
          <w:highlight w:val="none"/>
          <w:lang w:val="en-US" w:eastAsia="zh-CN"/>
        </w:rPr>
        <w:t xml:space="preserve"> </w:t>
      </w:r>
    </w:p>
    <w:p>
      <w:pPr>
        <w:spacing w:line="600" w:lineRule="exact"/>
        <w:ind w:left="2212" w:leftChars="299" w:hanging="1584" w:hangingChars="495"/>
        <w:rPr>
          <w:rFonts w:hint="eastAsia" w:ascii="宋体" w:hAnsi="宋体"/>
          <w:b/>
          <w:sz w:val="32"/>
          <w:highlight w:val="none"/>
        </w:rPr>
      </w:pPr>
      <w:r>
        <w:rPr>
          <w:rFonts w:hint="eastAsia" w:ascii="宋体" w:hAnsi="宋体" w:eastAsia="宋体" w:cs="宋体"/>
          <w:kern w:val="2"/>
          <w:sz w:val="32"/>
          <w:szCs w:val="22"/>
          <w:highlight w:val="none"/>
          <w:lang w:val="zh-CN" w:eastAsia="zh-CN" w:bidi="ar-SA"/>
        </w:rPr>
        <w:pict>
          <v:shape id="图片 2" o:spid="_x0000_s1027" type="#_x0000_t75" style="position:absolute;left:0;margin-left:163.15pt;margin-top:389.5pt;height:160.55pt;width:158.65pt;mso-position-vertical-relative:page;mso-wrap-distance-bottom:0pt;mso-wrap-distance-top:0pt;rotation:0f;z-index:251658240;" o:ole="f" fillcolor="#FFFFFF" filled="f" o:preferrelative="t" stroked="f" coordorigin="0,0" coordsize="21600,21600">
            <v:fill on="f" color2="#FFFFFF" focus="0%"/>
            <v:imagedata cropright="472f" cropbottom="906f" gain="65536f" blacklevel="0f" gamma="0" o:title="" r:id="rId6"/>
            <o:lock v:ext="edit" position="f" selection="f" grouping="f" rotation="f" cropping="f" text="f" aspectratio="t"/>
            <w10:wrap type="topAndBottom"/>
          </v:shape>
        </w:pict>
      </w:r>
    </w:p>
    <w:p>
      <w:pPr>
        <w:spacing w:line="600" w:lineRule="exact"/>
        <w:ind w:left="2218" w:leftChars="299" w:hanging="1590" w:hangingChars="495"/>
        <w:rPr>
          <w:rFonts w:hint="eastAsia" w:ascii="宋体" w:hAnsi="宋体"/>
          <w:b/>
          <w:sz w:val="32"/>
          <w:highlight w:val="none"/>
        </w:rPr>
      </w:pPr>
    </w:p>
    <w:p>
      <w:pPr>
        <w:spacing w:line="600" w:lineRule="exact"/>
        <w:ind w:left="2218" w:leftChars="299" w:hanging="1590" w:hangingChars="495"/>
        <w:rPr>
          <w:rFonts w:hint="eastAsia" w:ascii="宋体" w:hAnsi="宋体"/>
          <w:b/>
          <w:sz w:val="32"/>
          <w:highlight w:val="none"/>
        </w:rPr>
      </w:pPr>
    </w:p>
    <w:p>
      <w:pPr>
        <w:spacing w:line="600" w:lineRule="exact"/>
        <w:ind w:left="2218" w:leftChars="299" w:hanging="1590" w:hangingChars="495"/>
        <w:rPr>
          <w:rFonts w:hint="eastAsia" w:ascii="宋体" w:hAnsi="宋体"/>
          <w:b/>
          <w:sz w:val="32"/>
          <w:highlight w:val="none"/>
        </w:rPr>
      </w:pPr>
    </w:p>
    <w:p>
      <w:pPr>
        <w:spacing w:line="600" w:lineRule="exact"/>
        <w:rPr>
          <w:rFonts w:hint="eastAsia" w:ascii="宋体" w:hAnsi="宋体"/>
          <w:b w:val="0"/>
          <w:bCs/>
          <w:sz w:val="32"/>
          <w:highlight w:val="none"/>
          <w:lang w:val="en-US" w:eastAsia="zh-CN"/>
        </w:rPr>
      </w:pPr>
      <w:r>
        <w:rPr>
          <w:rFonts w:hint="eastAsia" w:ascii="宋体" w:hAnsi="宋体"/>
          <w:b/>
          <w:sz w:val="32"/>
          <w:highlight w:val="none"/>
          <w:lang w:val="en-US" w:eastAsia="zh-CN"/>
        </w:rPr>
        <w:t xml:space="preserve">        </w:t>
      </w:r>
      <w:r>
        <w:rPr>
          <w:rFonts w:hint="eastAsia" w:ascii="宋体" w:hAnsi="宋体"/>
          <w:b w:val="0"/>
          <w:bCs/>
          <w:sz w:val="32"/>
          <w:highlight w:val="none"/>
          <w:lang w:val="en-US" w:eastAsia="zh-CN"/>
        </w:rPr>
        <w:t xml:space="preserve">   </w:t>
      </w:r>
      <w:r>
        <w:rPr>
          <w:rFonts w:hint="eastAsia" w:ascii="宋体" w:hAnsi="宋体"/>
          <w:b w:val="0"/>
          <w:bCs/>
          <w:sz w:val="32"/>
          <w:highlight w:val="none"/>
          <w:lang w:eastAsia="zh-CN"/>
        </w:rPr>
        <w:t>采购</w:t>
      </w:r>
      <w:r>
        <w:rPr>
          <w:rFonts w:hint="eastAsia" w:ascii="宋体" w:hAnsi="宋体"/>
          <w:b w:val="0"/>
          <w:bCs/>
          <w:sz w:val="32"/>
          <w:highlight w:val="none"/>
        </w:rPr>
        <w:t>单位：</w:t>
      </w:r>
      <w:r>
        <w:rPr>
          <w:rFonts w:hint="eastAsia" w:ascii="宋体" w:hAnsi="宋体"/>
          <w:b w:val="0"/>
          <w:bCs/>
          <w:sz w:val="32"/>
          <w:highlight w:val="none"/>
          <w:lang w:val="en-US" w:eastAsia="zh-CN"/>
        </w:rPr>
        <w:t xml:space="preserve">临沂市兰山区朱保镇卫生院       </w:t>
      </w:r>
    </w:p>
    <w:p>
      <w:pPr>
        <w:spacing w:line="600" w:lineRule="exact"/>
        <w:rPr>
          <w:rFonts w:hint="eastAsia" w:ascii="宋体" w:hAnsi="宋体"/>
          <w:b w:val="0"/>
          <w:bCs/>
          <w:sz w:val="32"/>
          <w:highlight w:val="none"/>
        </w:rPr>
      </w:pPr>
      <w:r>
        <w:rPr>
          <w:rFonts w:hint="eastAsia" w:ascii="宋体" w:hAnsi="宋体"/>
          <w:b w:val="0"/>
          <w:bCs/>
          <w:sz w:val="32"/>
          <w:highlight w:val="none"/>
          <w:lang w:val="en-US" w:eastAsia="zh-CN"/>
        </w:rPr>
        <w:t xml:space="preserve">           </w:t>
      </w:r>
      <w:r>
        <w:rPr>
          <w:rFonts w:hint="eastAsia" w:ascii="宋体" w:hAnsi="宋体"/>
          <w:b w:val="0"/>
          <w:bCs/>
          <w:sz w:val="32"/>
          <w:highlight w:val="none"/>
        </w:rPr>
        <w:t>代理单位：山东省建设工程招标中心有限公司</w:t>
      </w:r>
    </w:p>
    <w:p>
      <w:pPr>
        <w:spacing w:line="600" w:lineRule="exact"/>
        <w:ind w:firstLine="1424" w:firstLineChars="445"/>
        <w:rPr>
          <w:rFonts w:hint="eastAsia" w:ascii="宋体" w:hAnsi="宋体"/>
          <w:b w:val="0"/>
          <w:bCs/>
          <w:sz w:val="32"/>
          <w:highlight w:val="none"/>
        </w:rPr>
      </w:pPr>
      <w:r>
        <w:rPr>
          <w:rFonts w:hint="eastAsia" w:ascii="宋体" w:hAnsi="宋体"/>
          <w:b w:val="0"/>
          <w:bCs/>
          <w:sz w:val="32"/>
          <w:highlight w:val="none"/>
        </w:rPr>
        <w:t xml:space="preserve">  日    期：二〇一</w:t>
      </w:r>
      <w:r>
        <w:rPr>
          <w:rFonts w:hint="eastAsia" w:ascii="宋体" w:hAnsi="宋体"/>
          <w:b w:val="0"/>
          <w:bCs/>
          <w:sz w:val="32"/>
          <w:highlight w:val="none"/>
          <w:lang w:eastAsia="zh-CN"/>
        </w:rPr>
        <w:t>七</w:t>
      </w:r>
      <w:r>
        <w:rPr>
          <w:rFonts w:hint="eastAsia" w:ascii="宋体" w:hAnsi="宋体"/>
          <w:b w:val="0"/>
          <w:bCs/>
          <w:sz w:val="32"/>
          <w:highlight w:val="none"/>
        </w:rPr>
        <w:t>年</w:t>
      </w:r>
      <w:r>
        <w:rPr>
          <w:rFonts w:hint="eastAsia" w:ascii="宋体" w:hAnsi="宋体"/>
          <w:b w:val="0"/>
          <w:bCs/>
          <w:sz w:val="32"/>
          <w:highlight w:val="none"/>
          <w:lang w:eastAsia="zh-CN"/>
        </w:rPr>
        <w:t>九</w:t>
      </w:r>
      <w:r>
        <w:rPr>
          <w:rFonts w:hint="eastAsia" w:ascii="宋体" w:hAnsi="宋体"/>
          <w:b w:val="0"/>
          <w:bCs/>
          <w:sz w:val="32"/>
          <w:highlight w:val="none"/>
        </w:rPr>
        <w:t>月</w:t>
      </w:r>
    </w:p>
    <w:p>
      <w:pPr>
        <w:spacing w:line="600" w:lineRule="exact"/>
        <w:ind w:firstLine="1424" w:firstLineChars="445"/>
        <w:rPr>
          <w:rFonts w:hint="eastAsia" w:ascii="宋体" w:hAnsi="宋体"/>
          <w:b w:val="0"/>
          <w:bCs/>
          <w:sz w:val="32"/>
          <w:highlight w:val="none"/>
        </w:rPr>
      </w:pPr>
    </w:p>
    <w:p>
      <w:pPr>
        <w:jc w:val="both"/>
        <w:rPr>
          <w:rFonts w:hint="eastAsia"/>
          <w:b/>
          <w:bCs/>
          <w:sz w:val="32"/>
          <w:szCs w:val="32"/>
          <w:highlight w:val="none"/>
          <w:lang w:eastAsia="zh-CN"/>
        </w:rPr>
      </w:pPr>
    </w:p>
    <w:p>
      <w:pPr>
        <w:jc w:val="center"/>
        <w:rPr>
          <w:rFonts w:hint="eastAsia"/>
          <w:b/>
          <w:bCs/>
          <w:sz w:val="44"/>
          <w:szCs w:val="44"/>
          <w:highlight w:val="none"/>
          <w:lang w:eastAsia="zh-CN"/>
        </w:rPr>
      </w:pPr>
      <w:r>
        <w:rPr>
          <w:rFonts w:hint="eastAsia"/>
          <w:b/>
          <w:bCs/>
          <w:sz w:val="44"/>
          <w:szCs w:val="44"/>
          <w:highlight w:val="none"/>
          <w:lang w:eastAsia="zh-CN"/>
        </w:rPr>
        <w:t>目</w:t>
      </w:r>
      <w:r>
        <w:rPr>
          <w:rFonts w:hint="eastAsia"/>
          <w:b/>
          <w:bCs/>
          <w:sz w:val="44"/>
          <w:szCs w:val="44"/>
          <w:highlight w:val="none"/>
          <w:lang w:val="en-US" w:eastAsia="zh-CN"/>
        </w:rPr>
        <w:t xml:space="preserve">  </w:t>
      </w:r>
      <w:r>
        <w:rPr>
          <w:rFonts w:hint="eastAsia"/>
          <w:b/>
          <w:bCs/>
          <w:sz w:val="44"/>
          <w:szCs w:val="44"/>
          <w:highlight w:val="none"/>
          <w:lang w:eastAsia="zh-CN"/>
        </w:rPr>
        <w:t>录</w:t>
      </w:r>
    </w:p>
    <w:p>
      <w:pPr>
        <w:jc w:val="center"/>
        <w:rPr>
          <w:rFonts w:hint="eastAsia"/>
          <w:b/>
          <w:bCs/>
          <w:sz w:val="44"/>
          <w:szCs w:val="44"/>
          <w:highlight w:val="none"/>
          <w:lang w:eastAsia="zh-CN"/>
        </w:rPr>
      </w:pPr>
    </w:p>
    <w:p>
      <w:pPr>
        <w:numPr>
          <w:ilvl w:val="0"/>
          <w:numId w:val="1"/>
        </w:numPr>
        <w:rPr>
          <w:rFonts w:hint="eastAsia" w:ascii="宋体" w:hAnsi="宋体" w:eastAsia="宋体" w:cs="宋体"/>
          <w:sz w:val="30"/>
          <w:szCs w:val="30"/>
          <w:highlight w:val="none"/>
          <w:lang w:eastAsia="zh-CN"/>
        </w:rPr>
      </w:pPr>
      <w:r>
        <w:rPr>
          <w:rFonts w:hint="eastAsia" w:ascii="宋体" w:hAnsi="宋体" w:cs="宋体"/>
          <w:sz w:val="30"/>
          <w:szCs w:val="30"/>
          <w:highlight w:val="none"/>
          <w:lang w:eastAsia="zh-CN"/>
        </w:rPr>
        <w:t>招标公告</w:t>
      </w:r>
      <w:r>
        <w:rPr>
          <w:rFonts w:hint="eastAsia" w:ascii="宋体" w:hAnsi="宋体" w:eastAsia="宋体" w:cs="宋体"/>
          <w:sz w:val="30"/>
          <w:szCs w:val="30"/>
          <w:highlight w:val="none"/>
          <w:lang w:eastAsia="zh-CN"/>
        </w:rPr>
        <w:t>……………………………………………………………</w:t>
      </w:r>
      <w:r>
        <w:rPr>
          <w:rFonts w:hint="eastAsia" w:ascii="宋体" w:hAnsi="宋体" w:cs="宋体"/>
          <w:sz w:val="30"/>
          <w:szCs w:val="30"/>
          <w:highlight w:val="none"/>
          <w:lang w:val="en-US" w:eastAsia="zh-CN"/>
        </w:rPr>
        <w:t>3</w:t>
      </w:r>
    </w:p>
    <w:p>
      <w:pPr>
        <w:numPr>
          <w:ilvl w:val="0"/>
          <w:numId w:val="1"/>
        </w:numPr>
        <w:rPr>
          <w:rFonts w:hint="eastAsia" w:ascii="宋体" w:hAnsi="宋体" w:eastAsia="宋体" w:cs="宋体"/>
          <w:sz w:val="30"/>
          <w:szCs w:val="30"/>
          <w:highlight w:val="none"/>
          <w:lang w:eastAsia="zh-CN"/>
        </w:rPr>
      </w:pPr>
      <w:r>
        <w:rPr>
          <w:rFonts w:hint="eastAsia" w:ascii="宋体" w:hAnsi="宋体" w:cs="宋体"/>
          <w:sz w:val="30"/>
          <w:szCs w:val="30"/>
          <w:highlight w:val="none"/>
          <w:lang w:eastAsia="zh-CN"/>
        </w:rPr>
        <w:t>投标人须知</w:t>
      </w:r>
      <w:r>
        <w:rPr>
          <w:rFonts w:hint="eastAsia" w:ascii="宋体" w:hAnsi="宋体" w:eastAsia="宋体" w:cs="宋体"/>
          <w:sz w:val="30"/>
          <w:szCs w:val="30"/>
          <w:highlight w:val="none"/>
          <w:lang w:eastAsia="zh-CN"/>
        </w:rPr>
        <w:t>…………………………………………………………</w:t>
      </w:r>
      <w:r>
        <w:rPr>
          <w:rFonts w:hint="eastAsia" w:ascii="宋体" w:hAnsi="宋体" w:cs="宋体"/>
          <w:sz w:val="30"/>
          <w:szCs w:val="30"/>
          <w:highlight w:val="none"/>
          <w:lang w:val="en-US" w:eastAsia="zh-CN"/>
        </w:rPr>
        <w:t>5</w:t>
      </w:r>
    </w:p>
    <w:p>
      <w:pPr>
        <w:numPr>
          <w:ilvl w:val="0"/>
          <w:numId w:val="1"/>
        </w:numPr>
        <w:rPr>
          <w:rFonts w:hint="eastAsia" w:ascii="宋体" w:hAnsi="宋体" w:eastAsia="宋体" w:cs="宋体"/>
          <w:sz w:val="30"/>
          <w:szCs w:val="30"/>
          <w:highlight w:val="none"/>
          <w:lang w:eastAsia="zh-CN"/>
        </w:rPr>
      </w:pPr>
      <w:r>
        <w:rPr>
          <w:rFonts w:hint="eastAsia" w:ascii="宋体" w:hAnsi="宋体" w:cs="宋体"/>
          <w:sz w:val="30"/>
          <w:szCs w:val="30"/>
          <w:highlight w:val="none"/>
          <w:lang w:eastAsia="zh-CN"/>
        </w:rPr>
        <w:t>项目说明及要求</w:t>
      </w:r>
      <w:r>
        <w:rPr>
          <w:rFonts w:hint="eastAsia" w:ascii="宋体" w:hAnsi="宋体" w:eastAsia="宋体" w:cs="宋体"/>
          <w:sz w:val="30"/>
          <w:szCs w:val="30"/>
          <w:highlight w:val="none"/>
          <w:lang w:eastAsia="zh-CN"/>
        </w:rPr>
        <w:t>……………………………………………………</w:t>
      </w:r>
      <w:r>
        <w:rPr>
          <w:rFonts w:hint="eastAsia" w:ascii="宋体" w:hAnsi="宋体" w:cs="宋体"/>
          <w:sz w:val="30"/>
          <w:szCs w:val="30"/>
          <w:highlight w:val="none"/>
          <w:lang w:val="en-US" w:eastAsia="zh-CN"/>
        </w:rPr>
        <w:t>22</w:t>
      </w:r>
    </w:p>
    <w:p>
      <w:pPr>
        <w:numPr>
          <w:ilvl w:val="0"/>
          <w:numId w:val="1"/>
        </w:numPr>
        <w:rPr>
          <w:rFonts w:hint="eastAsia" w:ascii="宋体" w:hAnsi="宋体" w:eastAsia="宋体" w:cs="宋体"/>
          <w:sz w:val="30"/>
          <w:szCs w:val="30"/>
          <w:highlight w:val="none"/>
          <w:lang w:val="en-US" w:eastAsia="zh-CN"/>
        </w:rPr>
      </w:pPr>
      <w:r>
        <w:rPr>
          <w:rFonts w:hint="eastAsia" w:ascii="宋体" w:hAnsi="宋体" w:cs="宋体"/>
          <w:sz w:val="30"/>
          <w:szCs w:val="30"/>
          <w:highlight w:val="none"/>
          <w:lang w:val="en-US" w:eastAsia="zh-CN"/>
        </w:rPr>
        <w:t>采购合同参考样本</w:t>
      </w:r>
      <w:r>
        <w:rPr>
          <w:rFonts w:hint="eastAsia" w:ascii="宋体" w:hAnsi="宋体" w:eastAsia="宋体" w:cs="宋体"/>
          <w:sz w:val="30"/>
          <w:szCs w:val="30"/>
          <w:highlight w:val="none"/>
          <w:lang w:eastAsia="zh-CN"/>
        </w:rPr>
        <w:t>…………………………………………………</w:t>
      </w:r>
      <w:r>
        <w:rPr>
          <w:rFonts w:hint="eastAsia" w:ascii="宋体" w:hAnsi="宋体" w:cs="宋体"/>
          <w:sz w:val="30"/>
          <w:szCs w:val="30"/>
          <w:highlight w:val="none"/>
          <w:lang w:val="en-US" w:eastAsia="zh-CN"/>
        </w:rPr>
        <w:t>26</w:t>
      </w:r>
    </w:p>
    <w:p>
      <w:pPr>
        <w:numPr>
          <w:ilvl w:val="0"/>
          <w:numId w:val="1"/>
        </w:numPr>
        <w:rPr>
          <w:rFonts w:hint="eastAsia" w:ascii="宋体" w:hAnsi="宋体" w:eastAsia="宋体" w:cs="宋体"/>
          <w:sz w:val="30"/>
          <w:szCs w:val="30"/>
          <w:highlight w:val="none"/>
          <w:lang w:val="en-US" w:eastAsia="zh-CN"/>
        </w:rPr>
      </w:pPr>
      <w:r>
        <w:rPr>
          <w:rFonts w:hint="eastAsia" w:ascii="宋体" w:hAnsi="宋体" w:cs="宋体"/>
          <w:sz w:val="30"/>
          <w:szCs w:val="30"/>
          <w:highlight w:val="none"/>
          <w:lang w:eastAsia="zh-CN"/>
        </w:rPr>
        <w:t>附件</w:t>
      </w:r>
      <w:r>
        <w:rPr>
          <w:rFonts w:hint="eastAsia" w:ascii="宋体" w:hAnsi="宋体" w:eastAsia="宋体" w:cs="宋体"/>
          <w:sz w:val="30"/>
          <w:szCs w:val="30"/>
          <w:highlight w:val="none"/>
          <w:lang w:eastAsia="zh-CN"/>
        </w:rPr>
        <w:t>…………………………………………………………………</w:t>
      </w:r>
      <w:r>
        <w:rPr>
          <w:rFonts w:hint="eastAsia" w:ascii="宋体" w:hAnsi="宋体" w:cs="宋体"/>
          <w:sz w:val="30"/>
          <w:szCs w:val="30"/>
          <w:highlight w:val="none"/>
          <w:lang w:val="en-US" w:eastAsia="zh-CN"/>
        </w:rPr>
        <w:t>30</w:t>
      </w:r>
    </w:p>
    <w:p>
      <w:pPr>
        <w:widowControl w:val="0"/>
        <w:numPr>
          <w:numId w:val="0"/>
        </w:numPr>
        <w:jc w:val="both"/>
        <w:rPr>
          <w:rFonts w:hint="eastAsia" w:ascii="宋体" w:hAnsi="宋体" w:cs="宋体"/>
          <w:highlight w:val="none"/>
          <w:lang w:eastAsia="zh-CN"/>
        </w:rPr>
      </w:pPr>
    </w:p>
    <w:p>
      <w:pPr>
        <w:widowControl w:val="0"/>
        <w:numPr>
          <w:numId w:val="0"/>
        </w:numPr>
        <w:jc w:val="both"/>
        <w:rPr>
          <w:rFonts w:hint="eastAsia" w:ascii="宋体" w:hAnsi="宋体" w:cs="宋体"/>
          <w:highlight w:val="none"/>
          <w:lang w:eastAsia="zh-CN"/>
        </w:rPr>
      </w:pPr>
    </w:p>
    <w:p>
      <w:pPr>
        <w:widowControl w:val="0"/>
        <w:numPr>
          <w:numId w:val="0"/>
        </w:numPr>
        <w:jc w:val="both"/>
        <w:rPr>
          <w:rFonts w:hint="eastAsia" w:ascii="宋体" w:hAnsi="宋体" w:cs="宋体"/>
          <w:highlight w:val="none"/>
          <w:lang w:eastAsia="zh-CN"/>
        </w:rPr>
      </w:pPr>
    </w:p>
    <w:p>
      <w:pPr>
        <w:widowControl w:val="0"/>
        <w:numPr>
          <w:numId w:val="0"/>
        </w:numPr>
        <w:jc w:val="both"/>
        <w:rPr>
          <w:rFonts w:hint="eastAsia" w:ascii="宋体" w:hAnsi="宋体" w:cs="宋体"/>
          <w:highlight w:val="none"/>
          <w:lang w:eastAsia="zh-CN"/>
        </w:rPr>
      </w:pPr>
    </w:p>
    <w:p>
      <w:pPr>
        <w:widowControl w:val="0"/>
        <w:numPr>
          <w:numId w:val="0"/>
        </w:numPr>
        <w:jc w:val="both"/>
        <w:rPr>
          <w:rFonts w:hint="eastAsia" w:ascii="宋体" w:hAnsi="宋体" w:cs="宋体"/>
          <w:highlight w:val="none"/>
          <w:lang w:eastAsia="zh-CN"/>
        </w:rPr>
      </w:pPr>
    </w:p>
    <w:p>
      <w:pPr>
        <w:widowControl w:val="0"/>
        <w:numPr>
          <w:numId w:val="0"/>
        </w:numPr>
        <w:jc w:val="both"/>
        <w:rPr>
          <w:rFonts w:hint="eastAsia" w:ascii="宋体" w:hAnsi="宋体" w:cs="宋体"/>
          <w:highlight w:val="none"/>
          <w:lang w:eastAsia="zh-CN"/>
        </w:rPr>
      </w:pPr>
    </w:p>
    <w:p>
      <w:pPr>
        <w:widowControl w:val="0"/>
        <w:numPr>
          <w:numId w:val="0"/>
        </w:numPr>
        <w:jc w:val="both"/>
        <w:rPr>
          <w:rFonts w:hint="eastAsia" w:ascii="宋体" w:hAnsi="宋体" w:cs="宋体"/>
          <w:highlight w:val="none"/>
          <w:lang w:eastAsia="zh-CN"/>
        </w:rPr>
      </w:pPr>
    </w:p>
    <w:p>
      <w:pPr>
        <w:widowControl w:val="0"/>
        <w:numPr>
          <w:numId w:val="0"/>
        </w:numPr>
        <w:jc w:val="both"/>
        <w:rPr>
          <w:rFonts w:hint="eastAsia" w:ascii="宋体" w:hAnsi="宋体" w:cs="宋体"/>
          <w:highlight w:val="none"/>
          <w:lang w:eastAsia="zh-CN"/>
        </w:rPr>
      </w:pPr>
    </w:p>
    <w:p>
      <w:pPr>
        <w:widowControl w:val="0"/>
        <w:numPr>
          <w:numId w:val="0"/>
        </w:numPr>
        <w:jc w:val="both"/>
        <w:rPr>
          <w:rFonts w:hint="eastAsia" w:ascii="宋体" w:hAnsi="宋体" w:cs="宋体"/>
          <w:highlight w:val="none"/>
          <w:lang w:eastAsia="zh-CN"/>
        </w:rPr>
      </w:pPr>
    </w:p>
    <w:p>
      <w:pPr>
        <w:widowControl w:val="0"/>
        <w:numPr>
          <w:numId w:val="0"/>
        </w:numPr>
        <w:jc w:val="both"/>
        <w:rPr>
          <w:rFonts w:hint="eastAsia" w:ascii="宋体" w:hAnsi="宋体" w:cs="宋体"/>
          <w:highlight w:val="none"/>
          <w:lang w:eastAsia="zh-CN"/>
        </w:rPr>
      </w:pPr>
    </w:p>
    <w:p>
      <w:pPr>
        <w:widowControl w:val="0"/>
        <w:numPr>
          <w:numId w:val="0"/>
        </w:numPr>
        <w:jc w:val="both"/>
        <w:rPr>
          <w:rFonts w:hint="eastAsia" w:ascii="宋体" w:hAnsi="宋体" w:cs="宋体"/>
          <w:highlight w:val="none"/>
          <w:lang w:eastAsia="zh-CN"/>
        </w:rPr>
      </w:pPr>
    </w:p>
    <w:p>
      <w:pPr>
        <w:widowControl w:val="0"/>
        <w:numPr>
          <w:numId w:val="0"/>
        </w:numPr>
        <w:jc w:val="both"/>
        <w:rPr>
          <w:rFonts w:hint="eastAsia" w:ascii="宋体" w:hAnsi="宋体" w:cs="宋体"/>
          <w:highlight w:val="none"/>
          <w:lang w:eastAsia="zh-CN"/>
        </w:rPr>
      </w:pPr>
    </w:p>
    <w:p>
      <w:pPr>
        <w:widowControl w:val="0"/>
        <w:numPr>
          <w:numId w:val="0"/>
        </w:numPr>
        <w:jc w:val="both"/>
        <w:rPr>
          <w:rFonts w:hint="eastAsia" w:ascii="宋体" w:hAnsi="宋体" w:cs="宋体"/>
          <w:highlight w:val="none"/>
          <w:lang w:eastAsia="zh-CN"/>
        </w:rPr>
      </w:pPr>
    </w:p>
    <w:p>
      <w:pPr>
        <w:widowControl w:val="0"/>
        <w:numPr>
          <w:numId w:val="0"/>
        </w:numPr>
        <w:jc w:val="both"/>
        <w:rPr>
          <w:rFonts w:hint="eastAsia" w:ascii="宋体" w:hAnsi="宋体" w:cs="宋体"/>
          <w:highlight w:val="none"/>
          <w:lang w:eastAsia="zh-CN"/>
        </w:rPr>
      </w:pPr>
    </w:p>
    <w:p>
      <w:pPr>
        <w:widowControl w:val="0"/>
        <w:numPr>
          <w:numId w:val="0"/>
        </w:numPr>
        <w:jc w:val="both"/>
        <w:rPr>
          <w:rFonts w:hint="eastAsia" w:ascii="宋体" w:hAnsi="宋体" w:cs="宋体"/>
          <w:highlight w:val="none"/>
          <w:lang w:eastAsia="zh-CN"/>
        </w:rPr>
      </w:pPr>
    </w:p>
    <w:p>
      <w:pPr>
        <w:widowControl w:val="0"/>
        <w:numPr>
          <w:numId w:val="0"/>
        </w:numPr>
        <w:jc w:val="both"/>
        <w:rPr>
          <w:rFonts w:hint="eastAsia" w:ascii="宋体" w:hAnsi="宋体" w:cs="宋体"/>
          <w:highlight w:val="none"/>
          <w:lang w:eastAsia="zh-CN"/>
        </w:rPr>
      </w:pPr>
    </w:p>
    <w:p>
      <w:pPr>
        <w:widowControl w:val="0"/>
        <w:numPr>
          <w:numId w:val="0"/>
        </w:numPr>
        <w:jc w:val="both"/>
        <w:rPr>
          <w:rFonts w:hint="eastAsia" w:ascii="宋体" w:hAnsi="宋体" w:cs="宋体"/>
          <w:highlight w:val="none"/>
          <w:lang w:eastAsia="zh-CN"/>
        </w:rPr>
      </w:pPr>
    </w:p>
    <w:p>
      <w:pPr>
        <w:widowControl w:val="0"/>
        <w:numPr>
          <w:numId w:val="0"/>
        </w:numPr>
        <w:jc w:val="both"/>
        <w:rPr>
          <w:rFonts w:hint="eastAsia" w:ascii="宋体" w:hAnsi="宋体" w:cs="宋体"/>
          <w:highlight w:val="none"/>
          <w:lang w:eastAsia="zh-CN"/>
        </w:rPr>
      </w:pPr>
    </w:p>
    <w:p>
      <w:pPr>
        <w:widowControl w:val="0"/>
        <w:numPr>
          <w:numId w:val="0"/>
        </w:numPr>
        <w:jc w:val="both"/>
        <w:rPr>
          <w:rFonts w:hint="eastAsia" w:ascii="宋体" w:hAnsi="宋体" w:cs="宋体"/>
          <w:highlight w:val="none"/>
          <w:lang w:eastAsia="zh-CN"/>
        </w:rPr>
      </w:pPr>
    </w:p>
    <w:p>
      <w:pPr>
        <w:widowControl w:val="0"/>
        <w:numPr>
          <w:numId w:val="0"/>
        </w:numPr>
        <w:jc w:val="both"/>
        <w:rPr>
          <w:rFonts w:hint="eastAsia" w:ascii="宋体" w:hAnsi="宋体" w:cs="宋体"/>
          <w:highlight w:val="none"/>
          <w:lang w:eastAsia="zh-CN"/>
        </w:rPr>
      </w:pPr>
    </w:p>
    <w:p>
      <w:pPr>
        <w:widowControl w:val="0"/>
        <w:numPr>
          <w:numId w:val="0"/>
        </w:numPr>
        <w:jc w:val="both"/>
        <w:rPr>
          <w:rFonts w:hint="eastAsia" w:ascii="宋体" w:hAnsi="宋体" w:cs="宋体"/>
          <w:highlight w:val="none"/>
          <w:lang w:eastAsia="zh-CN"/>
        </w:rPr>
      </w:pPr>
      <w:r>
        <w:rPr>
          <w:rFonts w:hint="eastAsia" w:ascii="宋体" w:hAnsi="宋体" w:cs="宋体"/>
          <w:highlight w:val="none"/>
          <w:lang w:eastAsia="zh-CN"/>
        </w:rPr>
        <w:br w:type="page"/>
      </w:r>
    </w:p>
    <w:p>
      <w:pPr>
        <w:numPr>
          <w:ilvl w:val="0"/>
          <w:numId w:val="2"/>
        </w:numPr>
        <w:jc w:val="cente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lang w:eastAsia="zh-CN"/>
        </w:rPr>
        <w:t>招标公告</w:t>
      </w:r>
    </w:p>
    <w:p>
      <w:pPr>
        <w:widowControl/>
        <w:adjustRightInd w:val="0"/>
        <w:snapToGrid w:val="0"/>
        <w:spacing w:line="360" w:lineRule="auto"/>
        <w:jc w:val="center"/>
        <w:rPr>
          <w:rFonts w:hint="eastAsia" w:ascii="宋体" w:hAnsi="宋体" w:cs="宋体"/>
          <w:bCs/>
          <w:spacing w:val="-10"/>
          <w:kern w:val="0"/>
          <w:sz w:val="24"/>
          <w:szCs w:val="24"/>
          <w:highlight w:val="none"/>
        </w:rPr>
      </w:pPr>
      <w:r>
        <w:rPr>
          <w:rFonts w:hint="eastAsia" w:ascii="宋体" w:hAnsi="宋体" w:cs="宋体"/>
          <w:bCs/>
          <w:spacing w:val="-10"/>
          <w:kern w:val="0"/>
          <w:sz w:val="28"/>
          <w:szCs w:val="28"/>
          <w:highlight w:val="none"/>
        </w:rPr>
        <w:t>临沂市兰山区朱保镇卫生院医疗污水处理系统采购项目公开招标</w:t>
      </w:r>
      <w:r>
        <w:rPr>
          <w:rFonts w:hint="eastAsia" w:ascii="宋体" w:hAnsi="宋体" w:cs="宋体"/>
          <w:bCs/>
          <w:kern w:val="0"/>
          <w:sz w:val="28"/>
          <w:szCs w:val="28"/>
          <w:highlight w:val="none"/>
        </w:rPr>
        <w:t>公告</w:t>
      </w:r>
    </w:p>
    <w:p>
      <w:pPr>
        <w:widowControl/>
        <w:numPr>
          <w:numId w:val="0"/>
        </w:numPr>
        <w:adjustRightInd w:val="0"/>
        <w:snapToGrid w:val="0"/>
        <w:spacing w:line="360" w:lineRule="auto"/>
        <w:jc w:val="left"/>
        <w:rPr>
          <w:rFonts w:hint="eastAsia" w:ascii="宋体" w:hAnsi="宋体" w:cs="宋体"/>
          <w:kern w:val="0"/>
          <w:sz w:val="24"/>
          <w:szCs w:val="24"/>
          <w:highlight w:val="none"/>
          <w:u w:val="single"/>
          <w:lang w:val="zh-CN"/>
        </w:rPr>
      </w:pPr>
      <w:r>
        <w:rPr>
          <w:rFonts w:hint="eastAsia" w:ascii="宋体" w:hAnsi="宋体" w:cs="宋体"/>
          <w:kern w:val="0"/>
          <w:sz w:val="24"/>
          <w:szCs w:val="24"/>
          <w:highlight w:val="none"/>
          <w:lang w:eastAsia="zh-CN"/>
        </w:rPr>
        <w:t>一、</w:t>
      </w:r>
      <w:r>
        <w:rPr>
          <w:rFonts w:hint="eastAsia" w:ascii="宋体" w:hAnsi="宋体" w:cs="宋体"/>
          <w:kern w:val="0"/>
          <w:sz w:val="24"/>
          <w:szCs w:val="24"/>
          <w:highlight w:val="none"/>
        </w:rPr>
        <w:t>采购项目名称：</w:t>
      </w:r>
      <w:r>
        <w:rPr>
          <w:rFonts w:hint="eastAsia" w:ascii="宋体" w:hAnsi="宋体" w:cs="宋体"/>
          <w:kern w:val="0"/>
          <w:sz w:val="24"/>
          <w:szCs w:val="24"/>
          <w:highlight w:val="none"/>
          <w:u w:val="single"/>
          <w:lang w:val="zh-CN"/>
        </w:rPr>
        <w:t xml:space="preserve">   临沂市兰山区朱保镇卫生院医疗污水处理系统采购 </w:t>
      </w:r>
    </w:p>
    <w:p>
      <w:pPr>
        <w:widowControl/>
        <w:numPr>
          <w:numId w:val="0"/>
        </w:numPr>
        <w:adjustRightInd w:val="0"/>
        <w:snapToGrid w:val="0"/>
        <w:spacing w:line="360" w:lineRule="auto"/>
        <w:jc w:val="left"/>
        <w:rPr>
          <w:rFonts w:hint="eastAsia" w:ascii="宋体" w:hAnsi="宋体" w:cs="宋体"/>
          <w:kern w:val="0"/>
          <w:sz w:val="24"/>
          <w:szCs w:val="24"/>
          <w:highlight w:val="none"/>
          <w:u w:val="single"/>
          <w:lang w:val="zh-CN"/>
        </w:rPr>
      </w:pPr>
      <w:r>
        <w:rPr>
          <w:rFonts w:hint="eastAsia" w:ascii="宋体" w:hAnsi="宋体" w:cs="宋体"/>
          <w:kern w:val="0"/>
          <w:sz w:val="24"/>
          <w:szCs w:val="24"/>
          <w:highlight w:val="none"/>
          <w:lang w:eastAsia="zh-CN"/>
        </w:rPr>
        <w:t>二、</w:t>
      </w:r>
      <w:r>
        <w:rPr>
          <w:rFonts w:hint="eastAsia" w:ascii="宋体" w:hAnsi="宋体" w:cs="宋体"/>
          <w:kern w:val="0"/>
          <w:sz w:val="24"/>
          <w:szCs w:val="24"/>
          <w:highlight w:val="none"/>
        </w:rPr>
        <w:t>采购计划编号：</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u w:val="single"/>
          <w:lang w:val="en-US" w:eastAsia="zh-CN"/>
        </w:rPr>
        <w:t xml:space="preserve">     </w:t>
      </w:r>
      <w:bookmarkStart w:id="1" w:name="_GoBack"/>
      <w:bookmarkEnd w:id="1"/>
      <w:r>
        <w:rPr>
          <w:rFonts w:hint="eastAsia" w:ascii="宋体" w:hAnsi="宋体" w:cs="宋体"/>
          <w:kern w:val="0"/>
          <w:sz w:val="28"/>
          <w:szCs w:val="28"/>
          <w:highlight w:val="none"/>
          <w:u w:val="single"/>
          <w:lang w:val="en-US" w:eastAsia="zh-CN"/>
        </w:rPr>
        <w:t>201707251</w:t>
      </w:r>
      <w:r>
        <w:rPr>
          <w:rFonts w:hint="eastAsia" w:ascii="宋体" w:hAnsi="宋体" w:cs="宋体"/>
          <w:kern w:val="0"/>
          <w:sz w:val="28"/>
          <w:szCs w:val="28"/>
          <w:highlight w:val="none"/>
          <w:u w:val="single"/>
          <w:lang w:val="zh-CN"/>
        </w:rPr>
        <w:t xml:space="preserve"> </w:t>
      </w:r>
      <w:r>
        <w:rPr>
          <w:rFonts w:hint="eastAsia" w:ascii="宋体" w:hAnsi="宋体" w:cs="宋体"/>
          <w:kern w:val="0"/>
          <w:sz w:val="28"/>
          <w:szCs w:val="28"/>
          <w:highlight w:val="none"/>
          <w:u w:val="single"/>
          <w:lang w:val="en-US" w:eastAsia="zh-CN"/>
        </w:rPr>
        <w:t xml:space="preserve"> </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u w:val="single"/>
          <w:lang w:val="en-US" w:eastAsia="zh-CN"/>
        </w:rPr>
        <w:t xml:space="preserve"> </w:t>
      </w:r>
      <w:r>
        <w:rPr>
          <w:rFonts w:hint="eastAsia" w:ascii="宋体" w:hAnsi="宋体" w:cs="宋体"/>
          <w:kern w:val="0"/>
          <w:sz w:val="24"/>
          <w:szCs w:val="24"/>
          <w:highlight w:val="none"/>
          <w:lang w:eastAsia="zh-CN"/>
        </w:rPr>
        <w:t>项目</w:t>
      </w:r>
      <w:r>
        <w:rPr>
          <w:rFonts w:hint="eastAsia" w:ascii="宋体" w:hAnsi="宋体" w:cs="宋体"/>
          <w:kern w:val="0"/>
          <w:sz w:val="24"/>
          <w:szCs w:val="24"/>
          <w:highlight w:val="none"/>
        </w:rPr>
        <w:t>编号：</w:t>
      </w:r>
      <w:r>
        <w:rPr>
          <w:rFonts w:hint="eastAsia" w:ascii="宋体" w:hAnsi="宋体" w:cs="宋体"/>
          <w:kern w:val="0"/>
          <w:sz w:val="24"/>
          <w:szCs w:val="24"/>
          <w:highlight w:val="none"/>
          <w:u w:val="single"/>
          <w:lang w:val="zh-CN"/>
        </w:rPr>
        <w:t xml:space="preserve">  SD</w:t>
      </w:r>
      <w:r>
        <w:rPr>
          <w:rFonts w:hint="eastAsia" w:ascii="宋体" w:hAnsi="宋体" w:cs="宋体"/>
          <w:kern w:val="0"/>
          <w:sz w:val="24"/>
          <w:szCs w:val="24"/>
          <w:highlight w:val="none"/>
          <w:u w:val="single"/>
          <w:lang w:val="zh-CN" w:eastAsia="zh-CN"/>
        </w:rPr>
        <w:t>J</w:t>
      </w:r>
      <w:r>
        <w:rPr>
          <w:rFonts w:hint="eastAsia" w:ascii="宋体" w:hAnsi="宋体" w:cs="宋体"/>
          <w:kern w:val="0"/>
          <w:sz w:val="24"/>
          <w:szCs w:val="24"/>
          <w:highlight w:val="none"/>
          <w:u w:val="single"/>
          <w:lang w:val="zh-CN"/>
        </w:rPr>
        <w:t>Z</w:t>
      </w:r>
      <w:r>
        <w:rPr>
          <w:rFonts w:hint="eastAsia" w:ascii="宋体" w:hAnsi="宋体" w:cs="宋体"/>
          <w:kern w:val="0"/>
          <w:sz w:val="24"/>
          <w:szCs w:val="24"/>
          <w:highlight w:val="none"/>
          <w:u w:val="single"/>
          <w:lang w:val="zh-CN" w:eastAsia="zh-CN"/>
        </w:rPr>
        <w:t>-</w:t>
      </w:r>
      <w:r>
        <w:rPr>
          <w:rFonts w:hint="eastAsia" w:ascii="宋体" w:hAnsi="宋体" w:cs="宋体"/>
          <w:kern w:val="0"/>
          <w:sz w:val="24"/>
          <w:szCs w:val="24"/>
          <w:highlight w:val="none"/>
          <w:u w:val="single"/>
          <w:lang w:val="zh-CN"/>
        </w:rPr>
        <w:t>201</w:t>
      </w:r>
      <w:r>
        <w:rPr>
          <w:rFonts w:hint="eastAsia" w:ascii="宋体" w:hAnsi="宋体" w:cs="宋体"/>
          <w:kern w:val="0"/>
          <w:sz w:val="24"/>
          <w:szCs w:val="24"/>
          <w:highlight w:val="none"/>
          <w:u w:val="single"/>
          <w:lang w:val="zh-CN" w:eastAsia="zh-CN"/>
        </w:rPr>
        <w:t>7-CG0</w:t>
      </w:r>
      <w:r>
        <w:rPr>
          <w:rFonts w:hint="eastAsia" w:ascii="宋体" w:hAnsi="宋体" w:cs="宋体"/>
          <w:kern w:val="0"/>
          <w:sz w:val="24"/>
          <w:szCs w:val="24"/>
          <w:highlight w:val="none"/>
          <w:u w:val="single"/>
          <w:lang w:val="en-US" w:eastAsia="zh-CN"/>
        </w:rPr>
        <w:t>11</w:t>
      </w:r>
      <w:r>
        <w:rPr>
          <w:rFonts w:hint="eastAsia" w:ascii="宋体" w:hAnsi="宋体" w:cs="宋体"/>
          <w:kern w:val="0"/>
          <w:sz w:val="24"/>
          <w:szCs w:val="24"/>
          <w:highlight w:val="none"/>
          <w:u w:val="single"/>
          <w:lang w:val="zh-CN"/>
        </w:rPr>
        <w:t xml:space="preserve">      </w:t>
      </w:r>
    </w:p>
    <w:p>
      <w:pPr>
        <w:widowControl/>
        <w:adjustRightInd w:val="0"/>
        <w:snapToGrid w:val="0"/>
        <w:spacing w:line="360" w:lineRule="auto"/>
        <w:jc w:val="left"/>
        <w:rPr>
          <w:rFonts w:hint="eastAsia" w:ascii="宋体" w:hAnsi="宋体" w:cs="宋体"/>
          <w:kern w:val="0"/>
          <w:sz w:val="24"/>
          <w:szCs w:val="24"/>
          <w:highlight w:val="none"/>
        </w:rPr>
      </w:pPr>
      <w:r>
        <w:rPr>
          <w:rFonts w:hint="eastAsia" w:ascii="宋体" w:hAnsi="宋体" w:cs="宋体"/>
          <w:kern w:val="0"/>
          <w:sz w:val="24"/>
          <w:szCs w:val="24"/>
          <w:highlight w:val="none"/>
        </w:rPr>
        <w:t>三、采购项目分包情况：</w:t>
      </w:r>
      <w:r>
        <w:rPr>
          <w:rFonts w:hint="eastAsia" w:ascii="宋体" w:hAnsi="宋体" w:cs="宋体"/>
          <w:kern w:val="0"/>
          <w:sz w:val="24"/>
          <w:szCs w:val="24"/>
          <w:highlight w:val="none"/>
          <w:lang w:val="zh-CN"/>
        </w:rPr>
        <w:t xml:space="preserve">                        </w:t>
      </w:r>
    </w:p>
    <w:tbl>
      <w:tblPr>
        <w:tblW w:w="10010" w:type="dxa"/>
        <w:jc w:val="center"/>
        <w:tblInd w:w="3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1841"/>
        <w:gridCol w:w="6222"/>
        <w:gridCol w:w="12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包号</w:t>
            </w:r>
          </w:p>
        </w:tc>
        <w:tc>
          <w:tcPr>
            <w:tcW w:w="18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货物服务名称</w:t>
            </w:r>
          </w:p>
        </w:tc>
        <w:tc>
          <w:tcPr>
            <w:tcW w:w="62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供应商资格要求</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本包预算金额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35"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A</w:t>
            </w:r>
          </w:p>
        </w:tc>
        <w:tc>
          <w:tcPr>
            <w:tcW w:w="18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eastAsia="zh-CN"/>
              </w:rPr>
              <w:t>医用污水处理</w:t>
            </w:r>
          </w:p>
        </w:tc>
        <w:tc>
          <w:tcPr>
            <w:tcW w:w="6222"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adjustRightInd w:val="0"/>
              <w:spacing w:line="320" w:lineRule="exact"/>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(一)具有独立承担民事责任能力的法人；</w:t>
            </w:r>
          </w:p>
          <w:p>
            <w:pPr>
              <w:widowControl/>
              <w:pBdr>
                <w:top w:val="none" w:color="auto" w:sz="0" w:space="0"/>
                <w:left w:val="none" w:color="auto" w:sz="0" w:space="0"/>
                <w:bottom w:val="none" w:color="auto" w:sz="0" w:space="0"/>
                <w:right w:val="none" w:color="auto" w:sz="0" w:space="0"/>
              </w:pBdr>
              <w:adjustRightInd w:val="0"/>
              <w:spacing w:line="320" w:lineRule="exact"/>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(二)提供的产品质量保证、性能可靠、技术合格；</w:t>
            </w:r>
          </w:p>
          <w:p>
            <w:pPr>
              <w:widowControl/>
              <w:pBdr>
                <w:top w:val="none" w:color="auto" w:sz="0" w:space="0"/>
                <w:left w:val="none" w:color="auto" w:sz="0" w:space="0"/>
                <w:bottom w:val="none" w:color="auto" w:sz="0" w:space="0"/>
                <w:right w:val="none" w:color="auto" w:sz="0" w:space="0"/>
              </w:pBdr>
              <w:adjustRightInd w:val="0"/>
              <w:spacing w:line="320" w:lineRule="exact"/>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(三)具有良好的商业信誉和健全的财务会计制度；</w:t>
            </w:r>
          </w:p>
          <w:p>
            <w:pPr>
              <w:widowControl/>
              <w:pBdr>
                <w:top w:val="none" w:color="auto" w:sz="0" w:space="0"/>
                <w:left w:val="none" w:color="auto" w:sz="0" w:space="0"/>
                <w:bottom w:val="none" w:color="auto" w:sz="0" w:space="0"/>
                <w:right w:val="none" w:color="auto" w:sz="0" w:space="0"/>
              </w:pBdr>
              <w:adjustRightInd w:val="0"/>
              <w:spacing w:line="320" w:lineRule="exact"/>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(四)具有履行合同所必须的设备和专业技术能力，并能提供优质的本地化服务；</w:t>
            </w:r>
          </w:p>
          <w:p>
            <w:pPr>
              <w:widowControl/>
              <w:pBdr>
                <w:top w:val="none" w:color="auto" w:sz="0" w:space="0"/>
                <w:left w:val="none" w:color="auto" w:sz="0" w:space="0"/>
                <w:bottom w:val="none" w:color="auto" w:sz="0" w:space="0"/>
                <w:right w:val="none" w:color="auto" w:sz="0" w:space="0"/>
              </w:pBdr>
              <w:adjustRightInd w:val="0"/>
              <w:spacing w:line="320" w:lineRule="exact"/>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(五)具有建设行政主管部门颁发的环保工程专业承包叁级及以上资质及安全生产许可证；</w:t>
            </w:r>
          </w:p>
          <w:p>
            <w:pPr>
              <w:widowControl/>
              <w:pBdr>
                <w:top w:val="none" w:color="auto" w:sz="0" w:space="0"/>
                <w:left w:val="none" w:color="auto" w:sz="0" w:space="0"/>
                <w:bottom w:val="none" w:color="auto" w:sz="0" w:space="0"/>
                <w:right w:val="none" w:color="auto" w:sz="0" w:space="0"/>
              </w:pBdr>
              <w:adjustRightInd w:val="0"/>
              <w:spacing w:line="320" w:lineRule="exact"/>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(六)具有依法缴纳税收和社会保障资金的良好记录；</w:t>
            </w:r>
          </w:p>
          <w:p>
            <w:pPr>
              <w:widowControl/>
              <w:pBdr>
                <w:top w:val="none" w:color="auto" w:sz="0" w:space="0"/>
                <w:left w:val="none" w:color="auto" w:sz="0" w:space="0"/>
                <w:bottom w:val="none" w:color="auto" w:sz="0" w:space="0"/>
                <w:right w:val="none" w:color="auto" w:sz="0" w:space="0"/>
              </w:pBdr>
              <w:adjustRightInd w:val="0"/>
              <w:spacing w:line="320" w:lineRule="exact"/>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(七)参加本次采购活动前三年内，在经营活动中没有重大违法记录；</w:t>
            </w:r>
          </w:p>
          <w:p>
            <w:pPr>
              <w:widowControl/>
              <w:pBdr>
                <w:top w:val="none" w:color="auto" w:sz="0" w:space="0"/>
                <w:left w:val="none" w:color="auto" w:sz="0" w:space="0"/>
                <w:bottom w:val="none" w:color="auto" w:sz="0" w:space="0"/>
                <w:right w:val="none" w:color="auto" w:sz="0" w:space="0"/>
              </w:pBdr>
              <w:adjustRightInd w:val="0"/>
              <w:spacing w:line="320" w:lineRule="exact"/>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(八)法律、行政法规及招标文件规定的其他要求；</w:t>
            </w:r>
          </w:p>
          <w:p>
            <w:pPr>
              <w:widowControl/>
              <w:pBdr>
                <w:top w:val="none" w:color="auto" w:sz="0" w:space="0"/>
                <w:left w:val="none" w:color="auto" w:sz="0" w:space="0"/>
                <w:bottom w:val="none" w:color="auto" w:sz="0" w:space="0"/>
                <w:right w:val="none" w:color="auto" w:sz="0" w:space="0"/>
              </w:pBdr>
              <w:adjustRightInd w:val="0"/>
              <w:spacing w:line="320" w:lineRule="exact"/>
              <w:jc w:val="left"/>
              <w:rPr>
                <w:rFonts w:ascii="宋体" w:hAnsi="宋体" w:cs="宋体"/>
                <w:kern w:val="0"/>
                <w:sz w:val="24"/>
                <w:szCs w:val="24"/>
                <w:highlight w:val="none"/>
              </w:rPr>
            </w:pPr>
            <w:r>
              <w:rPr>
                <w:rFonts w:hint="eastAsia" w:ascii="宋体" w:hAnsi="宋体" w:eastAsia="宋体" w:cs="宋体"/>
                <w:kern w:val="0"/>
                <w:sz w:val="24"/>
                <w:szCs w:val="24"/>
                <w:highlight w:val="none"/>
                <w:lang w:val="en-US" w:eastAsia="zh-CN"/>
              </w:rPr>
              <w:t>(九)本项目不接受联合体投标。</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31万元</w:t>
            </w:r>
          </w:p>
        </w:tc>
      </w:tr>
    </w:tbl>
    <w:p>
      <w:pPr>
        <w:widowControl/>
        <w:adjustRightInd w:val="0"/>
        <w:snapToGrid w:val="0"/>
        <w:spacing w:line="360" w:lineRule="auto"/>
        <w:jc w:val="left"/>
        <w:rPr>
          <w:rFonts w:hint="eastAsia" w:ascii="宋体" w:hAnsi="宋体" w:cs="宋体"/>
          <w:kern w:val="0"/>
          <w:sz w:val="24"/>
          <w:szCs w:val="24"/>
          <w:highlight w:val="none"/>
        </w:rPr>
      </w:pPr>
      <w:r>
        <w:rPr>
          <w:rFonts w:hint="eastAsia" w:ascii="宋体" w:hAnsi="宋体" w:cs="宋体"/>
          <w:kern w:val="0"/>
          <w:sz w:val="24"/>
          <w:szCs w:val="24"/>
          <w:highlight w:val="none"/>
          <w:lang w:eastAsia="zh-CN"/>
        </w:rPr>
        <w:t>四</w:t>
      </w:r>
      <w:r>
        <w:rPr>
          <w:rFonts w:hint="eastAsia" w:ascii="宋体" w:hAnsi="宋体" w:cs="宋体"/>
          <w:kern w:val="0"/>
          <w:sz w:val="24"/>
          <w:szCs w:val="24"/>
          <w:highlight w:val="none"/>
        </w:rPr>
        <w:t>、获取招标文件</w:t>
      </w:r>
    </w:p>
    <w:p>
      <w:pPr>
        <w:widowControl/>
        <w:adjustRightInd w:val="0"/>
        <w:snapToGrid w:val="0"/>
        <w:spacing w:line="360" w:lineRule="auto"/>
        <w:ind w:left="959" w:leftChars="228" w:hanging="480" w:hanging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1.时间：</w:t>
      </w:r>
      <w:r>
        <w:rPr>
          <w:rFonts w:hint="eastAsia" w:ascii="宋体" w:hAnsi="宋体" w:cs="宋体"/>
          <w:kern w:val="0"/>
          <w:sz w:val="24"/>
          <w:szCs w:val="24"/>
          <w:highlight w:val="none"/>
          <w:lang w:val="zh-CN"/>
        </w:rPr>
        <w:t xml:space="preserve"> </w:t>
      </w:r>
      <w:r>
        <w:rPr>
          <w:rFonts w:hint="eastAsia" w:ascii="宋体" w:hAnsi="宋体" w:cs="宋体"/>
          <w:kern w:val="0"/>
          <w:sz w:val="24"/>
          <w:szCs w:val="24"/>
          <w:highlight w:val="none"/>
          <w:u w:val="single"/>
          <w:lang w:val="en-US" w:eastAsia="zh-CN"/>
        </w:rPr>
        <w:t>2017</w:t>
      </w:r>
      <w:r>
        <w:rPr>
          <w:rFonts w:hint="eastAsia" w:ascii="宋体" w:hAnsi="宋体" w:cs="宋体"/>
          <w:kern w:val="0"/>
          <w:sz w:val="24"/>
          <w:szCs w:val="24"/>
          <w:highlight w:val="none"/>
        </w:rPr>
        <w:t>年</w:t>
      </w:r>
      <w:r>
        <w:rPr>
          <w:rFonts w:hint="eastAsia" w:ascii="宋体" w:hAnsi="宋体" w:cs="宋体"/>
          <w:kern w:val="0"/>
          <w:sz w:val="24"/>
          <w:szCs w:val="24"/>
          <w:highlight w:val="none"/>
          <w:u w:val="single"/>
          <w:lang w:val="en-US" w:eastAsia="zh-CN"/>
        </w:rPr>
        <w:t>10</w:t>
      </w:r>
      <w:r>
        <w:rPr>
          <w:rFonts w:hint="eastAsia" w:ascii="宋体" w:hAnsi="宋体" w:cs="宋体"/>
          <w:kern w:val="0"/>
          <w:sz w:val="24"/>
          <w:szCs w:val="24"/>
          <w:highlight w:val="none"/>
        </w:rPr>
        <w:t>月</w:t>
      </w:r>
      <w:r>
        <w:rPr>
          <w:rFonts w:hint="eastAsia" w:ascii="宋体" w:hAnsi="宋体" w:cs="宋体"/>
          <w:kern w:val="0"/>
          <w:sz w:val="24"/>
          <w:szCs w:val="24"/>
          <w:highlight w:val="none"/>
          <w:u w:val="single"/>
          <w:lang w:val="en-US" w:eastAsia="zh-CN"/>
        </w:rPr>
        <w:t>12</w:t>
      </w:r>
      <w:r>
        <w:rPr>
          <w:rFonts w:hint="eastAsia" w:ascii="宋体" w:hAnsi="宋体" w:cs="宋体"/>
          <w:kern w:val="0"/>
          <w:sz w:val="24"/>
          <w:szCs w:val="24"/>
          <w:highlight w:val="none"/>
        </w:rPr>
        <w:t>日</w:t>
      </w:r>
      <w:r>
        <w:rPr>
          <w:rFonts w:hint="eastAsia" w:ascii="宋体" w:hAnsi="宋体" w:cs="宋体"/>
          <w:kern w:val="0"/>
          <w:sz w:val="24"/>
          <w:szCs w:val="24"/>
          <w:highlight w:val="none"/>
          <w:u w:val="single"/>
          <w:lang w:val="en-US" w:eastAsia="zh-CN"/>
        </w:rPr>
        <w:t>8</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rPr>
        <w:t>时</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u w:val="single"/>
          <w:lang w:val="en-US" w:eastAsia="zh-CN"/>
        </w:rPr>
        <w:t>30</w:t>
      </w:r>
      <w:r>
        <w:rPr>
          <w:rFonts w:hint="eastAsia" w:ascii="宋体" w:hAnsi="宋体" w:cs="宋体"/>
          <w:kern w:val="0"/>
          <w:sz w:val="24"/>
          <w:szCs w:val="24"/>
          <w:highlight w:val="none"/>
        </w:rPr>
        <w:t>分至</w:t>
      </w:r>
      <w:r>
        <w:rPr>
          <w:rFonts w:hint="eastAsia" w:ascii="宋体" w:hAnsi="宋体" w:cs="宋体"/>
          <w:kern w:val="0"/>
          <w:sz w:val="24"/>
          <w:szCs w:val="24"/>
          <w:highlight w:val="none"/>
          <w:lang w:val="zh-CN"/>
        </w:rPr>
        <w:t xml:space="preserve"> </w:t>
      </w:r>
      <w:r>
        <w:rPr>
          <w:rFonts w:hint="eastAsia" w:ascii="宋体" w:hAnsi="宋体" w:cs="宋体"/>
          <w:kern w:val="0"/>
          <w:sz w:val="24"/>
          <w:szCs w:val="24"/>
          <w:highlight w:val="none"/>
          <w:u w:val="single"/>
          <w:lang w:val="en-US" w:eastAsia="zh-CN"/>
        </w:rPr>
        <w:t>2017</w:t>
      </w:r>
      <w:r>
        <w:rPr>
          <w:rFonts w:hint="eastAsia" w:ascii="宋体" w:hAnsi="宋体" w:cs="宋体"/>
          <w:kern w:val="0"/>
          <w:sz w:val="24"/>
          <w:szCs w:val="24"/>
          <w:highlight w:val="none"/>
        </w:rPr>
        <w:t>年</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u w:val="single"/>
          <w:lang w:val="en-US" w:eastAsia="zh-CN"/>
        </w:rPr>
        <w:t>10</w:t>
      </w:r>
      <w:r>
        <w:rPr>
          <w:rFonts w:hint="eastAsia" w:ascii="宋体" w:hAnsi="宋体" w:cs="宋体"/>
          <w:kern w:val="0"/>
          <w:sz w:val="24"/>
          <w:szCs w:val="24"/>
          <w:highlight w:val="none"/>
        </w:rPr>
        <w:t>月</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u w:val="single"/>
          <w:lang w:val="en-US" w:eastAsia="zh-CN"/>
        </w:rPr>
        <w:t>18</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rPr>
        <w:t>日</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u w:val="single"/>
          <w:lang w:val="en-US" w:eastAsia="zh-CN"/>
        </w:rPr>
        <w:t>17</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rPr>
        <w:t>时</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u w:val="single"/>
          <w:lang w:val="en-US" w:eastAsia="zh-CN"/>
        </w:rPr>
        <w:t>00</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rPr>
        <w:t>分</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北京时间，法定节假日除外</w:t>
      </w:r>
      <w:r>
        <w:rPr>
          <w:rFonts w:hint="eastAsia" w:ascii="宋体" w:hAnsi="宋体" w:cs="宋体"/>
          <w:kern w:val="0"/>
          <w:sz w:val="24"/>
          <w:szCs w:val="24"/>
          <w:highlight w:val="none"/>
          <w:lang w:eastAsia="zh-CN"/>
        </w:rPr>
        <w:t>)</w:t>
      </w:r>
    </w:p>
    <w:p>
      <w:pPr>
        <w:widowControl/>
        <w:adjustRightInd w:val="0"/>
        <w:snapToGrid w:val="0"/>
        <w:spacing w:line="360" w:lineRule="auto"/>
        <w:ind w:firstLine="480" w:firstLineChars="200"/>
        <w:jc w:val="left"/>
        <w:rPr>
          <w:rFonts w:hint="eastAsia" w:ascii="宋体" w:hAnsi="宋体" w:cs="宋体"/>
          <w:kern w:val="0"/>
          <w:sz w:val="24"/>
          <w:szCs w:val="24"/>
          <w:highlight w:val="none"/>
          <w:lang w:val="zh-CN"/>
        </w:rPr>
      </w:pPr>
      <w:r>
        <w:rPr>
          <w:rFonts w:hint="eastAsia" w:ascii="宋体" w:hAnsi="宋体" w:cs="宋体"/>
          <w:kern w:val="0"/>
          <w:sz w:val="24"/>
          <w:szCs w:val="24"/>
          <w:highlight w:val="none"/>
        </w:rPr>
        <w:t>2.地点：</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u w:val="single"/>
          <w:lang w:val="en-US" w:eastAsia="zh-CN"/>
        </w:rPr>
        <w:t xml:space="preserve"> </w:t>
      </w:r>
      <w:r>
        <w:rPr>
          <w:rFonts w:hint="eastAsia" w:ascii="宋体" w:hAnsi="宋体" w:cs="宋体"/>
          <w:kern w:val="0"/>
          <w:sz w:val="24"/>
          <w:szCs w:val="24"/>
          <w:highlight w:val="none"/>
          <w:u w:val="single"/>
          <w:lang w:val="zh-CN"/>
        </w:rPr>
        <w:t>临沂市政务服务中心五楼代理服务窗口</w:t>
      </w:r>
      <w:r>
        <w:rPr>
          <w:rFonts w:hint="eastAsia" w:ascii="宋体" w:hAnsi="宋体" w:cs="宋体"/>
          <w:kern w:val="0"/>
          <w:sz w:val="24"/>
          <w:szCs w:val="24"/>
          <w:highlight w:val="none"/>
          <w:u w:val="single"/>
          <w:lang w:val="en-US" w:eastAsia="zh-CN"/>
        </w:rPr>
        <w:t>37</w:t>
      </w:r>
      <w:r>
        <w:rPr>
          <w:rFonts w:hint="eastAsia" w:ascii="宋体" w:hAnsi="宋体" w:cs="宋体"/>
          <w:kern w:val="0"/>
          <w:sz w:val="24"/>
          <w:szCs w:val="24"/>
          <w:highlight w:val="none"/>
          <w:u w:val="single"/>
          <w:lang w:val="zh-CN"/>
        </w:rPr>
        <w:t xml:space="preserve">号      </w:t>
      </w:r>
    </w:p>
    <w:p>
      <w:pPr>
        <w:widowControl/>
        <w:adjustRightInd w:val="0"/>
        <w:snapToGrid w:val="0"/>
        <w:spacing w:line="360" w:lineRule="auto"/>
        <w:ind w:left="439" w:leftChars="209" w:firstLine="38" w:firstLineChars="16"/>
        <w:jc w:val="left"/>
        <w:rPr>
          <w:rFonts w:hint="eastAsia" w:ascii="宋体" w:hAnsi="宋体" w:cs="仿宋"/>
          <w:kern w:val="0"/>
          <w:sz w:val="24"/>
          <w:szCs w:val="24"/>
          <w:highlight w:val="none"/>
        </w:rPr>
      </w:pPr>
      <w:r>
        <w:rPr>
          <w:rFonts w:hint="eastAsia" w:ascii="宋体" w:hAnsi="宋体" w:cs="宋体"/>
          <w:kern w:val="0"/>
          <w:sz w:val="24"/>
          <w:szCs w:val="24"/>
          <w:highlight w:val="none"/>
        </w:rPr>
        <w:t>3.方式：</w:t>
      </w:r>
      <w:r>
        <w:rPr>
          <w:rFonts w:hint="eastAsia" w:ascii="宋体" w:hAnsi="宋体" w:cs="仿宋"/>
          <w:kern w:val="0"/>
          <w:sz w:val="24"/>
          <w:szCs w:val="24"/>
          <w:highlight w:val="none"/>
        </w:rPr>
        <w:t>到临沂市公共资源交易中心</w:t>
      </w:r>
      <w:r>
        <w:rPr>
          <w:rFonts w:hint="eastAsia" w:ascii="宋体" w:hAnsi="宋体" w:cs="仿宋"/>
          <w:kern w:val="0"/>
          <w:sz w:val="24"/>
          <w:szCs w:val="24"/>
          <w:highlight w:val="none"/>
          <w:lang w:eastAsia="zh-CN"/>
        </w:rPr>
        <w:t>(</w:t>
      </w:r>
      <w:r>
        <w:rPr>
          <w:rFonts w:hint="eastAsia" w:ascii="宋体" w:hAnsi="宋体" w:cs="仿宋"/>
          <w:kern w:val="0"/>
          <w:sz w:val="24"/>
          <w:szCs w:val="24"/>
          <w:highlight w:val="none"/>
        </w:rPr>
        <w:t>http://ggzyjy.linyi.gov.cn</w:t>
      </w:r>
      <w:r>
        <w:rPr>
          <w:rFonts w:hint="eastAsia" w:ascii="宋体" w:hAnsi="宋体" w:cs="仿宋"/>
          <w:kern w:val="0"/>
          <w:sz w:val="24"/>
          <w:szCs w:val="24"/>
          <w:highlight w:val="none"/>
          <w:lang w:eastAsia="zh-CN"/>
        </w:rPr>
        <w:t>)</w:t>
      </w:r>
      <w:r>
        <w:rPr>
          <w:rFonts w:hint="eastAsia" w:ascii="宋体" w:hAnsi="宋体" w:cs="仿宋"/>
          <w:kern w:val="0"/>
          <w:sz w:val="24"/>
          <w:szCs w:val="24"/>
          <w:highlight w:val="none"/>
        </w:rPr>
        <w:t>办理诚信入库并网上报名后，携带成功报名回执单向招标代理机构购买招标文件。</w:t>
      </w:r>
    </w:p>
    <w:p>
      <w:pPr>
        <w:widowControl/>
        <w:numPr>
          <w:ilvl w:val="0"/>
          <w:numId w:val="3"/>
        </w:numPr>
        <w:adjustRightInd w:val="0"/>
        <w:spacing w:line="360" w:lineRule="auto"/>
        <w:ind w:left="0" w:firstLine="480" w:firstLineChars="200"/>
        <w:jc w:val="left"/>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rPr>
        <w:t>售价：</w:t>
      </w:r>
      <w:r>
        <w:rPr>
          <w:rFonts w:hint="eastAsia" w:ascii="宋体" w:hAnsi="宋体" w:cs="宋体"/>
          <w:kern w:val="0"/>
          <w:sz w:val="24"/>
          <w:szCs w:val="24"/>
          <w:highlight w:val="none"/>
          <w:lang w:val="en-US" w:eastAsia="zh-CN"/>
        </w:rPr>
        <w:t>15</w:t>
      </w:r>
      <w:r>
        <w:rPr>
          <w:rFonts w:hint="eastAsia" w:ascii="宋体" w:hAnsi="宋体" w:eastAsia="宋体" w:cs="宋体"/>
          <w:kern w:val="0"/>
          <w:sz w:val="24"/>
          <w:szCs w:val="24"/>
          <w:highlight w:val="none"/>
          <w:lang w:val="en-US" w:eastAsia="zh-CN"/>
        </w:rPr>
        <w:t>0元/份，售后不退。</w:t>
      </w:r>
    </w:p>
    <w:p>
      <w:pPr>
        <w:widowControl/>
        <w:numPr>
          <w:numId w:val="0"/>
        </w:numPr>
        <w:adjustRightInd w:val="0"/>
        <w:spacing w:line="360" w:lineRule="auto"/>
        <w:jc w:val="left"/>
        <w:rPr>
          <w:rFonts w:hint="eastAsia" w:ascii="宋体" w:hAnsi="宋体" w:cs="宋体"/>
          <w:kern w:val="0"/>
          <w:sz w:val="24"/>
          <w:szCs w:val="24"/>
          <w:highlight w:val="none"/>
        </w:rPr>
      </w:pPr>
      <w:r>
        <w:rPr>
          <w:rFonts w:hint="eastAsia" w:ascii="宋体" w:hAnsi="宋体" w:cs="宋体"/>
          <w:kern w:val="0"/>
          <w:sz w:val="24"/>
          <w:szCs w:val="24"/>
          <w:highlight w:val="none"/>
        </w:rPr>
        <w:t>五、递交投标文件时间及地点</w:t>
      </w:r>
    </w:p>
    <w:p>
      <w:pPr>
        <w:widowControl/>
        <w:adjustRightInd w:val="0"/>
        <w:snapToGri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zh-CN"/>
        </w:rPr>
        <w:t>时间：</w:t>
      </w:r>
      <w:r>
        <w:rPr>
          <w:rFonts w:hint="eastAsia" w:ascii="宋体" w:hAnsi="宋体" w:cs="宋体"/>
          <w:kern w:val="0"/>
          <w:sz w:val="24"/>
          <w:szCs w:val="24"/>
          <w:highlight w:val="none"/>
          <w:u w:val="single"/>
          <w:lang w:val="en-US" w:eastAsia="zh-CN"/>
        </w:rPr>
        <w:t>2017</w:t>
      </w:r>
      <w:r>
        <w:rPr>
          <w:rFonts w:hint="eastAsia" w:ascii="宋体" w:hAnsi="宋体" w:cs="宋体"/>
          <w:kern w:val="0"/>
          <w:sz w:val="24"/>
          <w:szCs w:val="24"/>
          <w:highlight w:val="none"/>
        </w:rPr>
        <w:t>年</w:t>
      </w:r>
      <w:r>
        <w:rPr>
          <w:rFonts w:hint="eastAsia" w:ascii="宋体" w:hAnsi="宋体" w:cs="宋体"/>
          <w:kern w:val="0"/>
          <w:sz w:val="24"/>
          <w:szCs w:val="24"/>
          <w:highlight w:val="none"/>
          <w:u w:val="single"/>
          <w:lang w:val="en-US" w:eastAsia="zh-CN"/>
        </w:rPr>
        <w:t>11</w:t>
      </w:r>
      <w:r>
        <w:rPr>
          <w:rFonts w:hint="eastAsia" w:ascii="宋体" w:hAnsi="宋体" w:cs="宋体"/>
          <w:kern w:val="0"/>
          <w:sz w:val="24"/>
          <w:szCs w:val="24"/>
          <w:highlight w:val="none"/>
        </w:rPr>
        <w:t>月</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u w:val="single"/>
          <w:lang w:val="en-US" w:eastAsia="zh-CN"/>
        </w:rPr>
        <w:t>1</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rPr>
        <w:t>日</w:t>
      </w:r>
      <w:r>
        <w:rPr>
          <w:rFonts w:hint="eastAsia" w:ascii="宋体" w:hAnsi="宋体" w:cs="宋体"/>
          <w:kern w:val="0"/>
          <w:sz w:val="24"/>
          <w:szCs w:val="24"/>
          <w:highlight w:val="none"/>
          <w:u w:val="single"/>
          <w:lang w:val="en-US" w:eastAsia="zh-CN"/>
        </w:rPr>
        <w:t>14</w:t>
      </w:r>
      <w:r>
        <w:rPr>
          <w:rFonts w:hint="eastAsia" w:ascii="宋体" w:hAnsi="宋体" w:cs="宋体"/>
          <w:kern w:val="0"/>
          <w:sz w:val="24"/>
          <w:szCs w:val="24"/>
          <w:highlight w:val="none"/>
        </w:rPr>
        <w:t>时</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u w:val="single"/>
          <w:lang w:val="en-US" w:eastAsia="zh-CN"/>
        </w:rPr>
        <w:t>00</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rPr>
        <w:t>分至</w:t>
      </w:r>
      <w:r>
        <w:rPr>
          <w:rFonts w:hint="eastAsia" w:ascii="宋体" w:hAnsi="宋体" w:cs="宋体"/>
          <w:kern w:val="0"/>
          <w:sz w:val="24"/>
          <w:szCs w:val="24"/>
          <w:highlight w:val="none"/>
          <w:lang w:val="zh-CN"/>
        </w:rPr>
        <w:t xml:space="preserve"> </w:t>
      </w:r>
      <w:r>
        <w:rPr>
          <w:rFonts w:hint="eastAsia" w:ascii="宋体" w:hAnsi="宋体" w:cs="宋体"/>
          <w:kern w:val="0"/>
          <w:sz w:val="24"/>
          <w:szCs w:val="24"/>
          <w:highlight w:val="none"/>
          <w:u w:val="single"/>
          <w:lang w:val="en-US" w:eastAsia="zh-CN"/>
        </w:rPr>
        <w:t>2017</w:t>
      </w:r>
      <w:r>
        <w:rPr>
          <w:rFonts w:hint="eastAsia" w:ascii="宋体" w:hAnsi="宋体" w:cs="宋体"/>
          <w:kern w:val="0"/>
          <w:sz w:val="24"/>
          <w:szCs w:val="24"/>
          <w:highlight w:val="none"/>
        </w:rPr>
        <w:t>年</w:t>
      </w:r>
      <w:r>
        <w:rPr>
          <w:rFonts w:hint="eastAsia" w:ascii="宋体" w:hAnsi="宋体" w:cs="宋体"/>
          <w:kern w:val="0"/>
          <w:sz w:val="24"/>
          <w:szCs w:val="24"/>
          <w:highlight w:val="none"/>
          <w:u w:val="single"/>
          <w:lang w:val="en-US" w:eastAsia="zh-CN"/>
        </w:rPr>
        <w:t>11</w:t>
      </w:r>
      <w:r>
        <w:rPr>
          <w:rFonts w:hint="eastAsia" w:ascii="宋体" w:hAnsi="宋体" w:cs="宋体"/>
          <w:kern w:val="0"/>
          <w:sz w:val="24"/>
          <w:szCs w:val="24"/>
          <w:highlight w:val="none"/>
        </w:rPr>
        <w:t>月</w:t>
      </w:r>
      <w:r>
        <w:rPr>
          <w:rFonts w:hint="eastAsia" w:ascii="宋体" w:hAnsi="宋体" w:cs="宋体"/>
          <w:kern w:val="0"/>
          <w:sz w:val="24"/>
          <w:szCs w:val="24"/>
          <w:highlight w:val="none"/>
          <w:u w:val="single"/>
          <w:lang w:val="en-US" w:eastAsia="zh-CN"/>
        </w:rPr>
        <w:t>1</w:t>
      </w:r>
      <w:r>
        <w:rPr>
          <w:rFonts w:hint="eastAsia" w:ascii="宋体" w:hAnsi="宋体" w:cs="宋体"/>
          <w:kern w:val="0"/>
          <w:sz w:val="24"/>
          <w:szCs w:val="24"/>
          <w:highlight w:val="none"/>
        </w:rPr>
        <w:t>日</w:t>
      </w:r>
      <w:r>
        <w:rPr>
          <w:rFonts w:hint="eastAsia" w:ascii="宋体" w:hAnsi="宋体" w:cs="宋体"/>
          <w:kern w:val="0"/>
          <w:sz w:val="24"/>
          <w:szCs w:val="24"/>
          <w:highlight w:val="none"/>
          <w:u w:val="single"/>
          <w:lang w:val="en-US" w:eastAsia="zh-CN"/>
        </w:rPr>
        <w:t>14</w:t>
      </w:r>
      <w:r>
        <w:rPr>
          <w:rFonts w:hint="eastAsia" w:ascii="宋体" w:hAnsi="宋体" w:cs="宋体"/>
          <w:kern w:val="0"/>
          <w:sz w:val="24"/>
          <w:szCs w:val="24"/>
          <w:highlight w:val="none"/>
        </w:rPr>
        <w:t>时</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u w:val="single"/>
          <w:lang w:val="en-US" w:eastAsia="zh-CN"/>
        </w:rPr>
        <w:t>30</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rPr>
        <w:t>分</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北京时间</w:t>
      </w:r>
      <w:r>
        <w:rPr>
          <w:rFonts w:hint="eastAsia" w:ascii="宋体" w:hAnsi="宋体" w:cs="宋体"/>
          <w:kern w:val="0"/>
          <w:sz w:val="24"/>
          <w:szCs w:val="24"/>
          <w:highlight w:val="none"/>
          <w:lang w:eastAsia="zh-CN"/>
        </w:rPr>
        <w:t>)</w:t>
      </w:r>
    </w:p>
    <w:p>
      <w:pPr>
        <w:widowControl/>
        <w:adjustRightInd w:val="0"/>
        <w:snapToGrid w:val="0"/>
        <w:spacing w:line="360" w:lineRule="auto"/>
        <w:ind w:firstLine="480" w:firstLineChars="200"/>
        <w:jc w:val="left"/>
        <w:rPr>
          <w:rFonts w:hint="eastAsia" w:ascii="宋体" w:hAnsi="宋体" w:cs="宋体"/>
          <w:kern w:val="0"/>
          <w:sz w:val="24"/>
          <w:szCs w:val="24"/>
          <w:highlight w:val="none"/>
          <w:lang w:val="zh-CN"/>
        </w:rPr>
      </w:pPr>
      <w:r>
        <w:rPr>
          <w:rFonts w:hint="eastAsia" w:ascii="宋体" w:hAnsi="宋体" w:cs="宋体"/>
          <w:kern w:val="0"/>
          <w:sz w:val="24"/>
          <w:szCs w:val="24"/>
          <w:highlight w:val="none"/>
        </w:rPr>
        <w:t>2.地点：</w:t>
      </w:r>
      <w:r>
        <w:rPr>
          <w:rFonts w:hint="eastAsia" w:ascii="宋体" w:hAnsi="宋体" w:cs="宋体"/>
          <w:kern w:val="0"/>
          <w:sz w:val="24"/>
          <w:szCs w:val="24"/>
          <w:highlight w:val="none"/>
          <w:u w:val="single"/>
          <w:lang w:val="zh-CN"/>
        </w:rPr>
        <w:t xml:space="preserve">     临沂市政务服务中心5楼(北城新区北京路8号)          </w:t>
      </w:r>
    </w:p>
    <w:p>
      <w:pPr>
        <w:widowControl/>
        <w:adjustRightInd w:val="0"/>
        <w:snapToGrid w:val="0"/>
        <w:spacing w:line="360" w:lineRule="auto"/>
        <w:jc w:val="left"/>
        <w:rPr>
          <w:rFonts w:hint="eastAsia" w:ascii="宋体" w:hAnsi="宋体" w:cs="宋体"/>
          <w:kern w:val="0"/>
          <w:sz w:val="24"/>
          <w:szCs w:val="24"/>
          <w:highlight w:val="none"/>
        </w:rPr>
      </w:pPr>
      <w:r>
        <w:rPr>
          <w:rFonts w:hint="eastAsia" w:ascii="宋体" w:hAnsi="宋体" w:cs="宋体"/>
          <w:kern w:val="0"/>
          <w:sz w:val="24"/>
          <w:szCs w:val="24"/>
          <w:highlight w:val="none"/>
        </w:rPr>
        <w:t>六、开标时间及地点</w:t>
      </w:r>
    </w:p>
    <w:p>
      <w:pPr>
        <w:widowControl/>
        <w:adjustRightInd w:val="0"/>
        <w:snapToGrid w:val="0"/>
        <w:spacing w:line="360" w:lineRule="auto"/>
        <w:ind w:left="479" w:leftChars="228"/>
        <w:jc w:val="left"/>
        <w:rPr>
          <w:rFonts w:hint="eastAsia" w:ascii="宋体" w:hAnsi="宋体" w:cs="宋体"/>
          <w:kern w:val="0"/>
          <w:sz w:val="24"/>
          <w:szCs w:val="24"/>
          <w:highlight w:val="none"/>
        </w:rPr>
      </w:pPr>
      <w:r>
        <w:rPr>
          <w:rFonts w:hint="eastAsia" w:ascii="宋体" w:hAnsi="宋体" w:cs="宋体"/>
          <w:kern w:val="0"/>
          <w:sz w:val="24"/>
          <w:szCs w:val="24"/>
          <w:highlight w:val="none"/>
        </w:rPr>
        <w:t>1.时间：</w:t>
      </w:r>
      <w:r>
        <w:rPr>
          <w:rFonts w:hint="eastAsia" w:ascii="宋体" w:hAnsi="宋体" w:cs="宋体"/>
          <w:kern w:val="0"/>
          <w:sz w:val="24"/>
          <w:szCs w:val="24"/>
          <w:highlight w:val="none"/>
          <w:lang w:val="zh-CN"/>
        </w:rPr>
        <w:t xml:space="preserve"> </w:t>
      </w:r>
      <w:r>
        <w:rPr>
          <w:rFonts w:hint="eastAsia" w:ascii="宋体" w:hAnsi="宋体" w:cs="宋体"/>
          <w:kern w:val="0"/>
          <w:sz w:val="24"/>
          <w:szCs w:val="24"/>
          <w:highlight w:val="none"/>
          <w:u w:val="single"/>
          <w:lang w:val="en-US" w:eastAsia="zh-CN"/>
        </w:rPr>
        <w:t>2017</w:t>
      </w:r>
      <w:r>
        <w:rPr>
          <w:rFonts w:hint="eastAsia" w:ascii="宋体" w:hAnsi="宋体" w:cs="宋体"/>
          <w:kern w:val="0"/>
          <w:sz w:val="24"/>
          <w:szCs w:val="24"/>
          <w:highlight w:val="none"/>
        </w:rPr>
        <w:t>年</w:t>
      </w:r>
      <w:r>
        <w:rPr>
          <w:rFonts w:hint="eastAsia" w:ascii="宋体" w:hAnsi="宋体" w:cs="宋体"/>
          <w:kern w:val="0"/>
          <w:sz w:val="24"/>
          <w:szCs w:val="24"/>
          <w:highlight w:val="none"/>
          <w:u w:val="single"/>
          <w:lang w:val="en-US" w:eastAsia="zh-CN"/>
        </w:rPr>
        <w:t>11</w:t>
      </w:r>
      <w:r>
        <w:rPr>
          <w:rFonts w:hint="eastAsia" w:ascii="宋体" w:hAnsi="宋体" w:cs="宋体"/>
          <w:kern w:val="0"/>
          <w:sz w:val="24"/>
          <w:szCs w:val="24"/>
          <w:highlight w:val="none"/>
        </w:rPr>
        <w:t>月</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u w:val="single"/>
          <w:lang w:val="en-US" w:eastAsia="zh-CN"/>
        </w:rPr>
        <w:t>1</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rPr>
        <w:t>日</w:t>
      </w:r>
      <w:r>
        <w:rPr>
          <w:rFonts w:hint="eastAsia" w:ascii="宋体" w:hAnsi="宋体" w:cs="宋体"/>
          <w:kern w:val="0"/>
          <w:sz w:val="24"/>
          <w:szCs w:val="24"/>
          <w:highlight w:val="none"/>
          <w:u w:val="single"/>
          <w:lang w:val="en-US" w:eastAsia="zh-CN"/>
        </w:rPr>
        <w:t>14</w:t>
      </w:r>
      <w:r>
        <w:rPr>
          <w:rFonts w:hint="eastAsia" w:ascii="宋体" w:hAnsi="宋体" w:cs="宋体"/>
          <w:kern w:val="0"/>
          <w:sz w:val="24"/>
          <w:szCs w:val="24"/>
          <w:highlight w:val="none"/>
        </w:rPr>
        <w:t>时</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u w:val="single"/>
          <w:lang w:val="en-US" w:eastAsia="zh-CN"/>
        </w:rPr>
        <w:t>30</w:t>
      </w:r>
      <w:r>
        <w:rPr>
          <w:rFonts w:hint="eastAsia" w:ascii="宋体" w:hAnsi="宋体" w:cs="宋体"/>
          <w:kern w:val="0"/>
          <w:sz w:val="24"/>
          <w:szCs w:val="24"/>
          <w:highlight w:val="none"/>
        </w:rPr>
        <w:t>分</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北京时间</w:t>
      </w:r>
      <w:r>
        <w:rPr>
          <w:rFonts w:hint="eastAsia" w:ascii="宋体" w:hAnsi="宋体" w:cs="宋体"/>
          <w:kern w:val="0"/>
          <w:sz w:val="24"/>
          <w:szCs w:val="24"/>
          <w:highlight w:val="none"/>
          <w:lang w:eastAsia="zh-CN"/>
        </w:rPr>
        <w:t>)</w:t>
      </w:r>
    </w:p>
    <w:p>
      <w:pPr>
        <w:widowControl/>
        <w:adjustRightInd w:val="0"/>
        <w:snapToGrid w:val="0"/>
        <w:spacing w:line="360" w:lineRule="auto"/>
        <w:ind w:left="479" w:leftChars="228"/>
        <w:jc w:val="left"/>
        <w:rPr>
          <w:rFonts w:hint="eastAsia" w:ascii="宋体" w:hAnsi="宋体" w:cs="宋体"/>
          <w:kern w:val="0"/>
          <w:sz w:val="24"/>
          <w:szCs w:val="24"/>
          <w:highlight w:val="none"/>
          <w:lang w:val="zh-CN"/>
        </w:rPr>
      </w:pPr>
      <w:r>
        <w:rPr>
          <w:rFonts w:hint="eastAsia" w:ascii="宋体" w:hAnsi="宋体" w:cs="宋体"/>
          <w:kern w:val="0"/>
          <w:sz w:val="24"/>
          <w:szCs w:val="24"/>
          <w:highlight w:val="none"/>
        </w:rPr>
        <w:t>2.地点</w:t>
      </w:r>
      <w:r>
        <w:rPr>
          <w:rFonts w:hint="eastAsia" w:ascii="宋体" w:hAnsi="宋体" w:cs="宋体"/>
          <w:kern w:val="0"/>
          <w:sz w:val="24"/>
          <w:szCs w:val="24"/>
          <w:highlight w:val="none"/>
          <w:lang w:val="zh-CN"/>
        </w:rPr>
        <w:t>：</w:t>
      </w:r>
      <w:r>
        <w:rPr>
          <w:rFonts w:hint="eastAsia" w:ascii="宋体" w:hAnsi="宋体" w:cs="宋体"/>
          <w:kern w:val="0"/>
          <w:sz w:val="24"/>
          <w:szCs w:val="24"/>
          <w:highlight w:val="none"/>
          <w:u w:val="single"/>
          <w:lang w:val="zh-CN"/>
        </w:rPr>
        <w:t xml:space="preserve">     临沂市政务服务中心5楼(北城新区北京路8号)          </w:t>
      </w:r>
    </w:p>
    <w:p>
      <w:pPr>
        <w:widowControl/>
        <w:adjustRightInd w:val="0"/>
        <w:snapToGrid w:val="0"/>
        <w:spacing w:line="360" w:lineRule="auto"/>
        <w:jc w:val="left"/>
        <w:rPr>
          <w:rFonts w:hint="eastAsia" w:ascii="宋体" w:hAnsi="宋体" w:cs="宋体"/>
          <w:kern w:val="0"/>
          <w:sz w:val="24"/>
          <w:szCs w:val="24"/>
          <w:highlight w:val="none"/>
        </w:rPr>
      </w:pPr>
      <w:r>
        <w:rPr>
          <w:rFonts w:hint="eastAsia" w:ascii="宋体" w:hAnsi="宋体" w:cs="宋体"/>
          <w:kern w:val="0"/>
          <w:sz w:val="24"/>
          <w:szCs w:val="24"/>
          <w:highlight w:val="none"/>
        </w:rPr>
        <w:t>七、联系方式</w:t>
      </w:r>
    </w:p>
    <w:p>
      <w:pPr>
        <w:widowControl/>
        <w:adjustRightInd w:val="0"/>
        <w:spacing w:line="360" w:lineRule="auto"/>
        <w:ind w:left="0"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1.采购人：</w:t>
      </w:r>
      <w:r>
        <w:rPr>
          <w:rFonts w:hint="eastAsia" w:ascii="宋体" w:hAnsi="宋体" w:cs="宋体"/>
          <w:kern w:val="0"/>
          <w:sz w:val="24"/>
          <w:szCs w:val="24"/>
          <w:highlight w:val="none"/>
          <w:u w:val="single"/>
          <w:lang w:val="en-US" w:eastAsia="zh-CN"/>
        </w:rPr>
        <w:t xml:space="preserve">临沂市兰山区卫生和计划生育局   </w:t>
      </w:r>
      <w:r>
        <w:rPr>
          <w:rFonts w:hint="eastAsia" w:ascii="宋体" w:hAnsi="宋体" w:cs="宋体"/>
          <w:kern w:val="0"/>
          <w:sz w:val="24"/>
          <w:szCs w:val="24"/>
          <w:highlight w:val="none"/>
        </w:rPr>
        <w:t>地    址：</w:t>
      </w:r>
      <w:r>
        <w:rPr>
          <w:rFonts w:hint="eastAsia" w:ascii="宋体" w:hAnsi="宋体" w:cs="宋体"/>
          <w:kern w:val="0"/>
          <w:sz w:val="24"/>
          <w:szCs w:val="24"/>
          <w:highlight w:val="none"/>
          <w:u w:val="single"/>
          <w:lang w:val="zh-CN"/>
        </w:rPr>
        <w:t>蒙山大道与北园路交汇处卫生大厦</w:t>
      </w:r>
    </w:p>
    <w:p>
      <w:pPr>
        <w:widowControl/>
        <w:adjustRightInd w:val="0"/>
        <w:snapToGrid w:val="0"/>
        <w:spacing w:line="360" w:lineRule="auto"/>
        <w:ind w:firstLine="720" w:firstLineChars="300"/>
        <w:jc w:val="left"/>
        <w:rPr>
          <w:rFonts w:hint="eastAsia" w:ascii="宋体" w:hAnsi="宋体" w:cs="宋体"/>
          <w:kern w:val="0"/>
          <w:sz w:val="24"/>
          <w:szCs w:val="24"/>
          <w:highlight w:val="none"/>
          <w:u w:val="single"/>
          <w:lang w:val="zh-CN"/>
        </w:rPr>
      </w:pPr>
      <w:r>
        <w:rPr>
          <w:rFonts w:hint="eastAsia" w:ascii="宋体" w:hAnsi="宋体" w:cs="宋体"/>
          <w:kern w:val="0"/>
          <w:sz w:val="24"/>
          <w:szCs w:val="24"/>
          <w:highlight w:val="none"/>
        </w:rPr>
        <w:t>联系人：</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u w:val="single"/>
          <w:lang w:val="zh-CN" w:eastAsia="zh-CN"/>
        </w:rPr>
        <w:t>李科</w:t>
      </w:r>
      <w:r>
        <w:rPr>
          <w:rFonts w:hint="eastAsia" w:ascii="宋体" w:hAnsi="宋体" w:cs="宋体"/>
          <w:kern w:val="0"/>
          <w:sz w:val="24"/>
          <w:szCs w:val="24"/>
          <w:highlight w:val="none"/>
          <w:u w:val="single"/>
          <w:lang w:val="en-US" w:eastAsia="zh-CN"/>
        </w:rPr>
        <w:t xml:space="preserve">长    </w:t>
      </w:r>
      <w:r>
        <w:rPr>
          <w:rFonts w:hint="eastAsia" w:ascii="宋体" w:hAnsi="宋体" w:cs="宋体"/>
          <w:kern w:val="0"/>
          <w:sz w:val="24"/>
          <w:szCs w:val="24"/>
          <w:highlight w:val="none"/>
          <w:lang w:val="zh-CN"/>
        </w:rPr>
        <w:t>联系方式：</w:t>
      </w:r>
      <w:r>
        <w:rPr>
          <w:rFonts w:hint="eastAsia" w:ascii="宋体" w:hAnsi="宋体" w:cs="宋体"/>
          <w:kern w:val="0"/>
          <w:sz w:val="24"/>
          <w:szCs w:val="24"/>
          <w:highlight w:val="none"/>
          <w:u w:val="single"/>
          <w:lang w:val="zh-CN"/>
        </w:rPr>
        <w:t xml:space="preserve"> 0539-8107255   </w:t>
      </w:r>
    </w:p>
    <w:p>
      <w:pPr>
        <w:widowControl/>
        <w:adjustRightInd w:val="0"/>
        <w:snapToGrid w:val="0"/>
        <w:spacing w:line="360" w:lineRule="auto"/>
        <w:ind w:firstLine="480" w:firstLineChars="200"/>
        <w:jc w:val="left"/>
        <w:rPr>
          <w:rFonts w:hint="eastAsia" w:ascii="宋体" w:hAnsi="宋体" w:cs="宋体"/>
          <w:kern w:val="0"/>
          <w:sz w:val="24"/>
          <w:szCs w:val="24"/>
          <w:highlight w:val="none"/>
          <w:lang w:val="zh-CN"/>
        </w:rPr>
      </w:pPr>
      <w:r>
        <w:rPr>
          <w:rFonts w:hint="eastAsia" w:ascii="宋体" w:hAnsi="宋体" w:cs="宋体"/>
          <w:kern w:val="0"/>
          <w:sz w:val="24"/>
          <w:szCs w:val="24"/>
          <w:highlight w:val="none"/>
        </w:rPr>
        <w:t xml:space="preserve"> 2.采购代理机构：</w:t>
      </w:r>
      <w:r>
        <w:rPr>
          <w:rFonts w:hint="eastAsia" w:ascii="宋体" w:hAnsi="宋体" w:cs="宋体"/>
          <w:kern w:val="0"/>
          <w:sz w:val="24"/>
          <w:szCs w:val="24"/>
          <w:highlight w:val="none"/>
          <w:u w:val="single"/>
          <w:lang w:val="zh-CN"/>
        </w:rPr>
        <w:t xml:space="preserve">  山东省建设工程招标中心有限公司 </w:t>
      </w:r>
      <w:r>
        <w:rPr>
          <w:rFonts w:hint="eastAsia" w:ascii="宋体" w:hAnsi="宋体" w:cs="宋体"/>
          <w:kern w:val="0"/>
          <w:sz w:val="24"/>
          <w:szCs w:val="24"/>
          <w:highlight w:val="none"/>
          <w:u w:val="single"/>
          <w:lang w:val="en-US" w:eastAsia="zh-CN"/>
        </w:rPr>
        <w:t xml:space="preserve">  </w:t>
      </w:r>
      <w:r>
        <w:rPr>
          <w:rFonts w:hint="eastAsia" w:ascii="宋体" w:hAnsi="宋体" w:cs="宋体"/>
          <w:kern w:val="0"/>
          <w:sz w:val="24"/>
          <w:szCs w:val="24"/>
          <w:highlight w:val="none"/>
        </w:rPr>
        <w:t>地    址：</w:t>
      </w:r>
      <w:r>
        <w:rPr>
          <w:rFonts w:hint="eastAsia" w:ascii="宋体" w:hAnsi="宋体" w:cs="宋体"/>
          <w:kern w:val="0"/>
          <w:sz w:val="24"/>
          <w:szCs w:val="24"/>
          <w:highlight w:val="none"/>
          <w:u w:val="single"/>
          <w:lang w:val="zh-CN"/>
        </w:rPr>
        <w:t>临沂市北城新区</w:t>
      </w:r>
      <w:r>
        <w:rPr>
          <w:rFonts w:hint="eastAsia" w:ascii="宋体" w:hAnsi="宋体" w:cs="宋体"/>
          <w:kern w:val="0"/>
          <w:sz w:val="24"/>
          <w:szCs w:val="24"/>
          <w:highlight w:val="none"/>
          <w:u w:val="single"/>
          <w:lang w:val="zh-CN" w:eastAsia="zh-CN"/>
        </w:rPr>
        <w:t>府右路8号滨河阳光A区</w:t>
      </w:r>
    </w:p>
    <w:p>
      <w:pPr>
        <w:widowControl/>
        <w:adjustRightInd w:val="0"/>
        <w:snapToGrid w:val="0"/>
        <w:spacing w:line="360" w:lineRule="auto"/>
        <w:ind w:firstLine="720" w:firstLineChars="300"/>
        <w:jc w:val="left"/>
        <w:rPr>
          <w:rFonts w:hint="eastAsia" w:ascii="宋体" w:hAnsi="宋体" w:cs="宋体"/>
          <w:kern w:val="0"/>
          <w:sz w:val="24"/>
          <w:szCs w:val="24"/>
          <w:highlight w:val="none"/>
        </w:rPr>
      </w:pPr>
      <w:r>
        <w:rPr>
          <w:rFonts w:hint="eastAsia" w:ascii="宋体" w:hAnsi="宋体" w:cs="宋体"/>
          <w:kern w:val="0"/>
          <w:sz w:val="24"/>
          <w:szCs w:val="24"/>
          <w:highlight w:val="none"/>
        </w:rPr>
        <w:t>联系人：</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u w:val="single"/>
          <w:lang w:val="zh-CN" w:eastAsia="zh-CN"/>
        </w:rPr>
        <w:t>涂工</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u w:val="single"/>
          <w:lang w:val="en-US" w:eastAsia="zh-CN"/>
        </w:rPr>
        <w:t xml:space="preserve"> </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lang w:val="zh-CN"/>
        </w:rPr>
        <w:t>联系方式：</w:t>
      </w:r>
      <w:r>
        <w:rPr>
          <w:rFonts w:hint="eastAsia" w:ascii="宋体" w:hAnsi="宋体" w:cs="宋体"/>
          <w:kern w:val="0"/>
          <w:sz w:val="24"/>
          <w:szCs w:val="24"/>
          <w:highlight w:val="none"/>
          <w:u w:val="single"/>
          <w:lang w:val="en-US" w:eastAsia="zh-CN"/>
        </w:rPr>
        <w:t xml:space="preserve"> 18769928096</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u w:val="single"/>
          <w:lang w:val="en-US" w:eastAsia="zh-CN"/>
        </w:rPr>
        <w:t xml:space="preserve"> </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u w:val="single"/>
          <w:lang w:val="en-US" w:eastAsia="zh-CN"/>
        </w:rPr>
        <w:t xml:space="preserve"> </w:t>
      </w:r>
    </w:p>
    <w:p>
      <w:pPr>
        <w:adjustRightInd w:val="0"/>
        <w:snapToGrid w:val="0"/>
        <w:spacing w:line="360" w:lineRule="auto"/>
        <w:rPr>
          <w:rFonts w:hint="eastAsia" w:ascii="宋体" w:hAnsi="宋体" w:cs="宋体"/>
          <w:kern w:val="0"/>
          <w:sz w:val="24"/>
          <w:szCs w:val="24"/>
          <w:highlight w:val="none"/>
        </w:rPr>
      </w:pPr>
      <w:r>
        <w:rPr>
          <w:rFonts w:hint="eastAsia" w:ascii="宋体" w:hAnsi="宋体" w:cs="宋体"/>
          <w:kern w:val="0"/>
          <w:sz w:val="24"/>
          <w:szCs w:val="24"/>
          <w:highlight w:val="none"/>
        </w:rPr>
        <w:t xml:space="preserve">      附件：公开招标文件</w:t>
      </w:r>
    </w:p>
    <w:p>
      <w:pPr>
        <w:adjustRightInd w:val="0"/>
        <w:snapToGrid w:val="0"/>
        <w:spacing w:line="360" w:lineRule="auto"/>
        <w:rPr>
          <w:rFonts w:hint="eastAsia" w:ascii="宋体" w:hAnsi="宋体" w:cs="宋体"/>
          <w:kern w:val="0"/>
          <w:sz w:val="24"/>
          <w:szCs w:val="24"/>
          <w:highlight w:val="none"/>
          <w:lang w:val="zh-CN"/>
        </w:rPr>
      </w:pPr>
    </w:p>
    <w:p>
      <w:pPr>
        <w:adjustRightInd w:val="0"/>
        <w:snapToGrid w:val="0"/>
        <w:spacing w:line="360" w:lineRule="auto"/>
        <w:rPr>
          <w:rFonts w:hint="eastAsia" w:ascii="宋体" w:hAnsi="宋体" w:cs="宋体"/>
          <w:kern w:val="0"/>
          <w:sz w:val="24"/>
          <w:szCs w:val="24"/>
          <w:highlight w:val="none"/>
          <w:lang w:val="zh-CN"/>
        </w:rPr>
      </w:pPr>
    </w:p>
    <w:p>
      <w:pPr>
        <w:adjustRightInd w:val="0"/>
        <w:snapToGrid w:val="0"/>
        <w:spacing w:line="360" w:lineRule="auto"/>
        <w:rPr>
          <w:rFonts w:hint="eastAsia" w:ascii="宋体" w:hAnsi="宋体" w:cs="宋体"/>
          <w:kern w:val="0"/>
          <w:sz w:val="24"/>
          <w:szCs w:val="24"/>
          <w:highlight w:val="none"/>
          <w:u w:val="single"/>
          <w:lang w:val="zh-CN"/>
        </w:rPr>
      </w:pPr>
      <w:r>
        <w:rPr>
          <w:rFonts w:hint="eastAsia" w:ascii="宋体" w:hAnsi="宋体" w:cs="宋体"/>
          <w:kern w:val="0"/>
          <w:sz w:val="24"/>
          <w:szCs w:val="24"/>
          <w:highlight w:val="none"/>
          <w:lang w:val="zh-CN"/>
        </w:rPr>
        <w:t>发布人：</w:t>
      </w:r>
      <w:r>
        <w:rPr>
          <w:rFonts w:hint="eastAsia" w:ascii="宋体" w:hAnsi="宋体" w:cs="宋体"/>
          <w:kern w:val="0"/>
          <w:sz w:val="24"/>
          <w:szCs w:val="24"/>
          <w:highlight w:val="none"/>
          <w:u w:val="single"/>
          <w:lang w:val="zh-CN"/>
        </w:rPr>
        <w:t xml:space="preserve">                          </w:t>
      </w:r>
    </w:p>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p>
    <w:p>
      <w:pPr>
        <w:adjustRightInd w:val="0"/>
        <w:snapToGrid w:val="0"/>
        <w:spacing w:line="360" w:lineRule="auto"/>
        <w:rPr>
          <w:rFonts w:hint="eastAsia" w:ascii="宋体" w:hAnsi="宋体" w:cs="宋体"/>
          <w:kern w:val="0"/>
          <w:sz w:val="24"/>
          <w:szCs w:val="24"/>
          <w:highlight w:val="none"/>
          <w:u w:val="single"/>
          <w:lang w:val="zh-CN"/>
        </w:rPr>
      </w:pPr>
    </w:p>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p>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p>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p>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p>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p>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sectPr>
          <w:footerReference r:id="rId4" w:type="default"/>
          <w:pgSz w:w="11906" w:h="16838"/>
          <w:pgMar w:top="1440" w:right="1080" w:bottom="1440" w:left="1080" w:header="851" w:footer="992" w:gutter="0"/>
          <w:cols w:space="720" w:num="1"/>
          <w:docGrid w:type="lines" w:linePitch="312" w:charSpace="0"/>
        </w:sectPr>
      </w:pPr>
    </w:p>
    <w:p>
      <w:pPr>
        <w:numPr>
          <w:ilvl w:val="0"/>
          <w:numId w:val="2"/>
        </w:num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投标人须知</w:t>
      </w:r>
    </w:p>
    <w:p>
      <w:pPr>
        <w:numPr>
          <w:numId w:val="0"/>
        </w:numPr>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                        </w:t>
      </w:r>
      <w:r>
        <w:rPr>
          <w:rFonts w:hint="eastAsia" w:ascii="宋体" w:hAnsi="宋体" w:cs="宋体"/>
          <w:b/>
          <w:bCs/>
          <w:sz w:val="24"/>
          <w:szCs w:val="24"/>
          <w:highlight w:val="none"/>
          <w:lang w:val="en-US" w:eastAsia="zh-CN"/>
        </w:rPr>
        <w:t xml:space="preserve">        </w:t>
      </w:r>
      <w:r>
        <w:rPr>
          <w:rFonts w:hint="eastAsia" w:ascii="宋体" w:hAnsi="宋体" w:eastAsia="宋体" w:cs="宋体"/>
          <w:b/>
          <w:bCs/>
          <w:sz w:val="24"/>
          <w:szCs w:val="24"/>
          <w:highlight w:val="none"/>
          <w:lang w:val="en-US" w:eastAsia="zh-CN"/>
        </w:rPr>
        <w:t xml:space="preserve">  前  附  表 </w:t>
      </w:r>
    </w:p>
    <w:tbl>
      <w:tblPr>
        <w:tblpPr w:leftFromText="180" w:rightFromText="180" w:vertAnchor="text" w:horzAnchor="page" w:tblpX="1147" w:tblpY="458"/>
        <w:tblOverlap w:val="never"/>
        <w:tblW w:w="99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145"/>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序号</w:t>
            </w:r>
          </w:p>
        </w:tc>
        <w:tc>
          <w:tcPr>
            <w:tcW w:w="214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w:t>
            </w:r>
          </w:p>
        </w:tc>
        <w:tc>
          <w:tcPr>
            <w:tcW w:w="697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Merge w:val="restart"/>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214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项目名称</w:t>
            </w:r>
          </w:p>
        </w:tc>
        <w:tc>
          <w:tcPr>
            <w:tcW w:w="6975" w:type="dxa"/>
            <w:vAlign w:val="top"/>
          </w:tcPr>
          <w:p>
            <w:pPr>
              <w:widowControl w:val="0"/>
              <w:numPr>
                <w:numId w:val="0"/>
              </w:numPr>
              <w:wordWrap/>
              <w:adjustRightInd/>
              <w:snapToGrid/>
              <w:spacing w:line="360" w:lineRule="auto"/>
              <w:ind w:right="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临沂市兰山区朱保镇卫生院医疗污水处理系统采购项目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Merge w:val="continue"/>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p>
        </w:tc>
        <w:tc>
          <w:tcPr>
            <w:tcW w:w="214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项目编号</w:t>
            </w:r>
          </w:p>
        </w:tc>
        <w:tc>
          <w:tcPr>
            <w:tcW w:w="697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SDJZ-201</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-CG</w:t>
            </w:r>
            <w:r>
              <w:rPr>
                <w:rFonts w:hint="eastAsia" w:ascii="宋体" w:hAnsi="宋体" w:cs="宋体"/>
                <w:sz w:val="24"/>
                <w:szCs w:val="24"/>
                <w:highlight w:val="none"/>
                <w:lang w:val="en-US" w:eastAsia="zh-CN"/>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214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资金来源</w:t>
            </w:r>
          </w:p>
        </w:tc>
        <w:tc>
          <w:tcPr>
            <w:tcW w:w="697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214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采购预算</w:t>
            </w:r>
          </w:p>
        </w:tc>
        <w:tc>
          <w:tcPr>
            <w:tcW w:w="697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31</w:t>
            </w:r>
            <w:r>
              <w:rPr>
                <w:rFonts w:hint="eastAsia" w:ascii="宋体" w:hAnsi="宋体" w:eastAsia="宋体" w:cs="宋体"/>
                <w:sz w:val="24"/>
                <w:szCs w:val="24"/>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214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采购方式</w:t>
            </w:r>
          </w:p>
        </w:tc>
        <w:tc>
          <w:tcPr>
            <w:tcW w:w="697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214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投标需提供的资料</w:t>
            </w:r>
          </w:p>
        </w:tc>
        <w:tc>
          <w:tcPr>
            <w:tcW w:w="697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公告及</w:t>
            </w:r>
            <w:r>
              <w:rPr>
                <w:rFonts w:hint="eastAsia" w:ascii="宋体" w:hAnsi="宋体" w:cs="宋体"/>
                <w:sz w:val="24"/>
                <w:szCs w:val="24"/>
                <w:highlight w:val="none"/>
                <w:lang w:val="en-US" w:eastAsia="zh-CN"/>
              </w:rPr>
              <w:t>采购文件</w:t>
            </w:r>
            <w:r>
              <w:rPr>
                <w:rFonts w:hint="eastAsia" w:ascii="宋体" w:hAnsi="宋体" w:eastAsia="宋体" w:cs="宋体"/>
                <w:sz w:val="24"/>
                <w:szCs w:val="24"/>
                <w:highlight w:val="none"/>
                <w:lang w:val="en-US" w:eastAsia="zh-CN"/>
              </w:rPr>
              <w:t>要求的其他材料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214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资格审查</w:t>
            </w:r>
          </w:p>
        </w:tc>
        <w:tc>
          <w:tcPr>
            <w:tcW w:w="697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资格后审方式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14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供货期要求</w:t>
            </w:r>
          </w:p>
        </w:tc>
        <w:tc>
          <w:tcPr>
            <w:tcW w:w="697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FF0000"/>
                <w:sz w:val="24"/>
                <w:szCs w:val="24"/>
                <w:highlight w:val="none"/>
                <w:lang w:val="en-US"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214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投标保证金</w:t>
            </w:r>
          </w:p>
        </w:tc>
        <w:tc>
          <w:tcPr>
            <w:tcW w:w="697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投标人须于投标截止时间前，以公司基本户公对公电汇的方式向临沂市政务服务中心交纳投标保证金</w:t>
            </w:r>
            <w:r>
              <w:rPr>
                <w:rFonts w:hint="eastAsia" w:ascii="宋体" w:hAnsi="宋体" w:cs="宋体"/>
                <w:b/>
                <w:bCs/>
                <w:sz w:val="24"/>
                <w:szCs w:val="24"/>
                <w:highlight w:val="none"/>
                <w:lang w:val="en-US" w:eastAsia="zh-CN"/>
              </w:rPr>
              <w:t>6000</w:t>
            </w:r>
            <w:r>
              <w:rPr>
                <w:rFonts w:hint="eastAsia" w:ascii="宋体" w:hAnsi="宋体" w:eastAsia="宋体" w:cs="宋体"/>
                <w:b/>
                <w:bCs/>
                <w:sz w:val="24"/>
                <w:szCs w:val="24"/>
                <w:highlight w:val="none"/>
                <w:lang w:val="en-US" w:eastAsia="zh-CN"/>
              </w:rPr>
              <w:t>元</w:t>
            </w:r>
            <w:r>
              <w:rPr>
                <w:rFonts w:hint="eastAsia" w:ascii="宋体" w:hAnsi="宋体" w:eastAsia="宋体" w:cs="宋体"/>
                <w:sz w:val="24"/>
                <w:szCs w:val="24"/>
                <w:highlight w:val="none"/>
                <w:lang w:val="en-US" w:eastAsia="zh-CN"/>
              </w:rPr>
              <w:t>；汇款时请注明交易登记号</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u w:val="single"/>
                <w:lang w:val="en-US" w:eastAsia="zh-CN"/>
              </w:rPr>
              <w:t>17CGLS0224</w:t>
            </w:r>
            <w:r>
              <w:rPr>
                <w:rFonts w:hint="eastAsia" w:ascii="宋体" w:hAnsi="宋体" w:cs="宋体"/>
                <w:color w:val="FF0000"/>
                <w:sz w:val="24"/>
                <w:szCs w:val="24"/>
                <w:highlight w:val="none"/>
                <w:lang w:val="en-US" w:eastAsia="zh-CN"/>
              </w:rPr>
              <w:t xml:space="preserve"> </w:t>
            </w:r>
            <w:r>
              <w:rPr>
                <w:rFonts w:hint="eastAsia" w:ascii="宋体" w:hAnsi="宋体" w:eastAsia="宋体" w:cs="宋体"/>
                <w:sz w:val="24"/>
                <w:szCs w:val="24"/>
                <w:highlight w:val="none"/>
                <w:lang w:val="en-US" w:eastAsia="zh-CN"/>
              </w:rPr>
              <w:t>，开标时携带汇款底单到政务中心资金结算处换取收据，收据与投标文件同时递交。（友情提示：因每笔保证金缴纳、换取凭据需一定时间，为不影响贵公司按时参加开标，请各投标单位缴纳投标保证金后，请与开标前半天到临沂市公共资源交易中心五楼资金结算窗口换取收据，因报价单位原因无法按时换取单据，造成递交时间延误，责任自负）。</w:t>
            </w:r>
          </w:p>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账户名称：临沂市政务服务中心管理办公室</w:t>
            </w:r>
          </w:p>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开户银行：临商银行新华支行</w:t>
            </w:r>
          </w:p>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账号：818330101421002703</w:t>
            </w:r>
          </w:p>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大额支付行号：313473070219</w:t>
            </w:r>
          </w:p>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收据换取地点：临沂市政务服务中心五楼资金结算处，联系电话：0539-8770092。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214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投标有效期</w:t>
            </w:r>
          </w:p>
        </w:tc>
        <w:tc>
          <w:tcPr>
            <w:tcW w:w="697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214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投标文件份数</w:t>
            </w:r>
          </w:p>
        </w:tc>
        <w:tc>
          <w:tcPr>
            <w:tcW w:w="697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正本一份、副本</w:t>
            </w:r>
            <w:r>
              <w:rPr>
                <w:rFonts w:hint="eastAsia" w:ascii="宋体" w:hAnsi="宋体" w:cs="宋体"/>
                <w:sz w:val="24"/>
                <w:szCs w:val="24"/>
                <w:highlight w:val="none"/>
                <w:lang w:val="en-US" w:eastAsia="zh-CN"/>
              </w:rPr>
              <w:t>五</w:t>
            </w:r>
            <w:r>
              <w:rPr>
                <w:rFonts w:hint="eastAsia" w:ascii="宋体" w:hAnsi="宋体" w:eastAsia="宋体" w:cs="宋体"/>
                <w:sz w:val="24"/>
                <w:szCs w:val="24"/>
                <w:highlight w:val="none"/>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214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评标办法</w:t>
            </w:r>
          </w:p>
        </w:tc>
        <w:tc>
          <w:tcPr>
            <w:tcW w:w="697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214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lang w:val="en-US" w:eastAsia="zh-CN"/>
              </w:rPr>
              <w:t>服务费</w:t>
            </w:r>
          </w:p>
        </w:tc>
        <w:tc>
          <w:tcPr>
            <w:tcW w:w="697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由成交人暂时</w:t>
            </w:r>
            <w:r>
              <w:rPr>
                <w:rFonts w:hint="eastAsia" w:ascii="宋体" w:hAnsi="宋体" w:eastAsia="宋体" w:cs="宋体"/>
                <w:sz w:val="24"/>
                <w:szCs w:val="24"/>
                <w:highlight w:val="none"/>
                <w:lang w:val="en-US" w:eastAsia="zh-CN"/>
              </w:rPr>
              <w:t>按照国家计委《招标代理服务收费管理暂行办法》（计价格【2002】1980号）和国家发展改革委办公厅《关于招标代理服务收费有关问题的通知》（发改办价格【2003】857号）等有关规定执行。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214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公证费</w:t>
            </w:r>
          </w:p>
        </w:tc>
        <w:tc>
          <w:tcPr>
            <w:tcW w:w="697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由</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lang w:val="en-US" w:eastAsia="zh-CN"/>
              </w:rPr>
              <w:t>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214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付款方式</w:t>
            </w:r>
          </w:p>
        </w:tc>
        <w:tc>
          <w:tcPr>
            <w:tcW w:w="697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3366FF"/>
                <w:sz w:val="24"/>
                <w:szCs w:val="24"/>
                <w:highlight w:val="none"/>
                <w:lang w:val="en-US" w:eastAsia="zh-CN"/>
              </w:rPr>
              <w:t>货到安装施工完毕验收合格交付使用并经审计后，付合同总价款的90%，余款作为质保金12个月后无质量问题一次性无息付清。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5</w:t>
            </w:r>
          </w:p>
        </w:tc>
        <w:tc>
          <w:tcPr>
            <w:tcW w:w="214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项目负责人</w:t>
            </w:r>
          </w:p>
        </w:tc>
        <w:tc>
          <w:tcPr>
            <w:tcW w:w="697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w:t>
            </w:r>
            <w:r>
              <w:rPr>
                <w:rFonts w:hint="eastAsia" w:ascii="宋体" w:hAnsi="宋体" w:cs="宋体"/>
                <w:sz w:val="24"/>
                <w:szCs w:val="24"/>
                <w:highlight w:val="none"/>
                <w:lang w:val="en-US" w:eastAsia="zh-CN"/>
              </w:rPr>
              <w:t>涂工</w:t>
            </w:r>
            <w:r>
              <w:rPr>
                <w:rFonts w:hint="eastAsia" w:ascii="宋体" w:hAnsi="宋体" w:eastAsia="宋体" w:cs="宋体"/>
                <w:sz w:val="24"/>
                <w:szCs w:val="24"/>
                <w:highlight w:val="none"/>
                <w:lang w:val="en-US" w:eastAsia="zh-CN"/>
              </w:rPr>
              <w:t xml:space="preserve">                   电话：</w:t>
            </w:r>
            <w:r>
              <w:rPr>
                <w:rFonts w:hint="eastAsia" w:ascii="宋体" w:hAnsi="宋体" w:cs="宋体"/>
                <w:sz w:val="24"/>
                <w:szCs w:val="24"/>
                <w:highlight w:val="none"/>
                <w:lang w:val="en-US" w:eastAsia="zh-CN"/>
              </w:rPr>
              <w:t>18769928096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6</w:t>
            </w:r>
          </w:p>
        </w:tc>
        <w:tc>
          <w:tcPr>
            <w:tcW w:w="9120" w:type="dxa"/>
            <w:gridSpan w:val="2"/>
            <w:vAlign w:val="top"/>
          </w:tcPr>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不管投标结果如何，投标人自行承担所有与参加投标有关的费用。投标人一旦参加本项目投标，即被认为接受了本招标文件的所有条件和规定。</w:t>
            </w:r>
          </w:p>
        </w:tc>
      </w:tr>
    </w:tbl>
    <w:p>
      <w:pPr>
        <w:numPr>
          <w:numId w:val="0"/>
        </w:numPr>
        <w:jc w:val="both"/>
        <w:rPr>
          <w:rFonts w:hint="eastAsia" w:ascii="宋体" w:hAnsi="宋体" w:eastAsia="宋体" w:cs="宋体"/>
          <w:b/>
          <w:bCs/>
          <w:sz w:val="24"/>
          <w:szCs w:val="24"/>
          <w:highlight w:val="none"/>
          <w:lang w:val="en-US" w:eastAsia="zh-CN"/>
        </w:rPr>
      </w:pPr>
    </w:p>
    <w:p>
      <w:pPr>
        <w:numPr>
          <w:numId w:val="0"/>
        </w:numPr>
        <w:jc w:val="both"/>
        <w:rPr>
          <w:rFonts w:hint="eastAsia" w:ascii="宋体" w:hAnsi="宋体" w:eastAsia="宋体" w:cs="宋体"/>
          <w:b/>
          <w:bCs/>
          <w:sz w:val="24"/>
          <w:szCs w:val="24"/>
          <w:highlight w:val="none"/>
          <w:lang w:val="en-US" w:eastAsia="zh-CN"/>
        </w:rPr>
      </w:pPr>
    </w:p>
    <w:p>
      <w:pPr>
        <w:numPr>
          <w:numId w:val="0"/>
        </w:numPr>
        <w:jc w:val="both"/>
        <w:rPr>
          <w:rFonts w:hint="eastAsia" w:ascii="宋体" w:hAnsi="宋体" w:eastAsia="宋体" w:cs="宋体"/>
          <w:b/>
          <w:bCs/>
          <w:sz w:val="24"/>
          <w:szCs w:val="24"/>
          <w:highlight w:val="none"/>
          <w:lang w:val="en-US" w:eastAsia="zh-CN"/>
        </w:rPr>
      </w:pPr>
    </w:p>
    <w:p>
      <w:pPr>
        <w:numPr>
          <w:numId w:val="0"/>
        </w:numPr>
        <w:jc w:val="both"/>
        <w:rPr>
          <w:rFonts w:hint="eastAsia" w:ascii="宋体" w:hAnsi="宋体" w:eastAsia="宋体" w:cs="宋体"/>
          <w:b/>
          <w:bCs/>
          <w:sz w:val="24"/>
          <w:szCs w:val="24"/>
          <w:highlight w:val="none"/>
          <w:lang w:val="en-US" w:eastAsia="zh-CN"/>
        </w:rPr>
      </w:pPr>
    </w:p>
    <w:p>
      <w:pPr>
        <w:numPr>
          <w:numId w:val="0"/>
        </w:numPr>
        <w:jc w:val="both"/>
        <w:rPr>
          <w:rFonts w:hint="eastAsia" w:ascii="宋体" w:hAnsi="宋体" w:eastAsia="宋体" w:cs="宋体"/>
          <w:b/>
          <w:bCs/>
          <w:sz w:val="24"/>
          <w:szCs w:val="24"/>
          <w:highlight w:val="none"/>
          <w:lang w:val="en-US" w:eastAsia="zh-CN"/>
        </w:rPr>
      </w:pPr>
    </w:p>
    <w:p>
      <w:pPr>
        <w:numPr>
          <w:numId w:val="0"/>
        </w:numPr>
        <w:jc w:val="both"/>
        <w:rPr>
          <w:rFonts w:hint="eastAsia" w:ascii="宋体" w:hAnsi="宋体" w:eastAsia="宋体" w:cs="宋体"/>
          <w:b/>
          <w:bCs/>
          <w:sz w:val="24"/>
          <w:szCs w:val="24"/>
          <w:highlight w:val="none"/>
          <w:lang w:val="en-US" w:eastAsia="zh-CN"/>
        </w:rPr>
      </w:pPr>
    </w:p>
    <w:p>
      <w:pPr>
        <w:numPr>
          <w:numId w:val="0"/>
        </w:numPr>
        <w:jc w:val="both"/>
        <w:rPr>
          <w:rFonts w:hint="eastAsia" w:ascii="宋体" w:hAnsi="宋体" w:eastAsia="宋体" w:cs="宋体"/>
          <w:b/>
          <w:bCs/>
          <w:sz w:val="24"/>
          <w:szCs w:val="24"/>
          <w:highlight w:val="none"/>
          <w:lang w:val="en-US" w:eastAsia="zh-CN"/>
        </w:rPr>
      </w:pPr>
    </w:p>
    <w:p>
      <w:pPr>
        <w:numPr>
          <w:numId w:val="0"/>
        </w:numPr>
        <w:jc w:val="both"/>
        <w:rPr>
          <w:rFonts w:hint="eastAsia" w:ascii="宋体" w:hAnsi="宋体" w:eastAsia="宋体" w:cs="宋体"/>
          <w:b/>
          <w:bCs/>
          <w:sz w:val="24"/>
          <w:szCs w:val="24"/>
          <w:highlight w:val="none"/>
          <w:lang w:val="en-US" w:eastAsia="zh-CN"/>
        </w:rPr>
      </w:pPr>
    </w:p>
    <w:p>
      <w:pPr>
        <w:numPr>
          <w:numId w:val="0"/>
        </w:numPr>
        <w:jc w:val="both"/>
        <w:rPr>
          <w:rFonts w:hint="eastAsia" w:ascii="宋体" w:hAnsi="宋体" w:eastAsia="宋体" w:cs="宋体"/>
          <w:b/>
          <w:bCs/>
          <w:sz w:val="24"/>
          <w:szCs w:val="24"/>
          <w:highlight w:val="none"/>
          <w:lang w:val="en-US" w:eastAsia="zh-CN"/>
        </w:rPr>
      </w:pPr>
    </w:p>
    <w:p>
      <w:pPr>
        <w:numPr>
          <w:numId w:val="0"/>
        </w:numPr>
        <w:jc w:val="both"/>
        <w:rPr>
          <w:rFonts w:hint="eastAsia" w:ascii="宋体" w:hAnsi="宋体" w:eastAsia="宋体" w:cs="宋体"/>
          <w:b/>
          <w:bCs/>
          <w:sz w:val="24"/>
          <w:szCs w:val="24"/>
          <w:highlight w:val="none"/>
          <w:lang w:val="en-US" w:eastAsia="zh-CN"/>
        </w:rPr>
      </w:pPr>
    </w:p>
    <w:p>
      <w:pPr>
        <w:numPr>
          <w:numId w:val="0"/>
        </w:numPr>
        <w:jc w:val="both"/>
        <w:rPr>
          <w:rFonts w:hint="eastAsia" w:ascii="宋体" w:hAnsi="宋体" w:eastAsia="宋体" w:cs="宋体"/>
          <w:b/>
          <w:bCs/>
          <w:sz w:val="24"/>
          <w:szCs w:val="24"/>
          <w:highlight w:val="none"/>
          <w:lang w:val="en-US" w:eastAsia="zh-CN"/>
        </w:rPr>
      </w:pPr>
    </w:p>
    <w:p>
      <w:pPr>
        <w:numPr>
          <w:numId w:val="0"/>
        </w:numPr>
        <w:jc w:val="both"/>
        <w:rPr>
          <w:rFonts w:hint="eastAsia" w:ascii="宋体" w:hAnsi="宋体" w:eastAsia="宋体" w:cs="宋体"/>
          <w:b/>
          <w:bCs/>
          <w:sz w:val="24"/>
          <w:szCs w:val="24"/>
          <w:highlight w:val="none"/>
          <w:lang w:val="en-US" w:eastAsia="zh-CN"/>
        </w:rPr>
      </w:pPr>
    </w:p>
    <w:p>
      <w:pPr>
        <w:numPr>
          <w:numId w:val="0"/>
        </w:numPr>
        <w:jc w:val="both"/>
        <w:rPr>
          <w:rFonts w:hint="eastAsia" w:ascii="宋体" w:hAnsi="宋体" w:eastAsia="宋体" w:cs="宋体"/>
          <w:b/>
          <w:bCs/>
          <w:sz w:val="24"/>
          <w:szCs w:val="24"/>
          <w:highlight w:val="none"/>
          <w:lang w:val="en-US" w:eastAsia="zh-CN"/>
        </w:rPr>
      </w:pPr>
    </w:p>
    <w:p>
      <w:pPr>
        <w:numPr>
          <w:numId w:val="0"/>
        </w:numPr>
        <w:jc w:val="both"/>
        <w:rPr>
          <w:rFonts w:hint="eastAsia" w:ascii="宋体" w:hAnsi="宋体" w:eastAsia="宋体" w:cs="宋体"/>
          <w:b/>
          <w:bCs/>
          <w:sz w:val="24"/>
          <w:szCs w:val="24"/>
          <w:highlight w:val="none"/>
          <w:lang w:val="en-US" w:eastAsia="zh-CN"/>
        </w:rPr>
      </w:pPr>
    </w:p>
    <w:p>
      <w:pPr>
        <w:numPr>
          <w:numId w:val="0"/>
        </w:numPr>
        <w:jc w:val="both"/>
        <w:rPr>
          <w:rFonts w:hint="eastAsia" w:ascii="宋体" w:hAnsi="宋体" w:eastAsia="宋体" w:cs="宋体"/>
          <w:b/>
          <w:bCs/>
          <w:sz w:val="24"/>
          <w:szCs w:val="24"/>
          <w:highlight w:val="none"/>
          <w:lang w:val="en-US" w:eastAsia="zh-CN"/>
        </w:rPr>
      </w:pPr>
    </w:p>
    <w:p>
      <w:pPr>
        <w:numPr>
          <w:numId w:val="0"/>
        </w:numPr>
        <w:jc w:val="both"/>
        <w:rPr>
          <w:rFonts w:hint="eastAsia" w:ascii="宋体" w:hAnsi="宋体" w:eastAsia="宋体" w:cs="宋体"/>
          <w:b/>
          <w:bCs/>
          <w:sz w:val="24"/>
          <w:szCs w:val="24"/>
          <w:highlight w:val="none"/>
          <w:lang w:val="en-US" w:eastAsia="zh-CN"/>
        </w:rPr>
      </w:pPr>
    </w:p>
    <w:p>
      <w:pPr>
        <w:numPr>
          <w:numId w:val="0"/>
        </w:numPr>
        <w:jc w:val="both"/>
        <w:rPr>
          <w:rFonts w:hint="eastAsia" w:ascii="宋体" w:hAnsi="宋体" w:eastAsia="宋体" w:cs="宋体"/>
          <w:b/>
          <w:bCs/>
          <w:sz w:val="24"/>
          <w:szCs w:val="24"/>
          <w:highlight w:val="none"/>
          <w:lang w:val="en-US" w:eastAsia="zh-CN"/>
        </w:rPr>
      </w:pPr>
    </w:p>
    <w:p>
      <w:pPr>
        <w:numPr>
          <w:numId w:val="0"/>
        </w:numPr>
        <w:jc w:val="both"/>
        <w:rPr>
          <w:rFonts w:hint="eastAsia" w:ascii="宋体" w:hAnsi="宋体" w:eastAsia="宋体" w:cs="宋体"/>
          <w:b/>
          <w:bCs/>
          <w:sz w:val="24"/>
          <w:szCs w:val="24"/>
          <w:highlight w:val="none"/>
          <w:lang w:val="en-US" w:eastAsia="zh-CN"/>
        </w:rPr>
      </w:pPr>
    </w:p>
    <w:p>
      <w:pPr>
        <w:numPr>
          <w:numId w:val="0"/>
        </w:numPr>
        <w:jc w:val="both"/>
        <w:rPr>
          <w:rFonts w:hint="eastAsia" w:ascii="宋体" w:hAnsi="宋体" w:eastAsia="宋体" w:cs="宋体"/>
          <w:b/>
          <w:bCs/>
          <w:sz w:val="24"/>
          <w:szCs w:val="24"/>
          <w:highlight w:val="none"/>
          <w:lang w:val="en-US" w:eastAsia="zh-CN"/>
        </w:rPr>
      </w:pPr>
    </w:p>
    <w:p>
      <w:pPr>
        <w:numPr>
          <w:numId w:val="0"/>
        </w:numPr>
        <w:jc w:val="both"/>
        <w:rPr>
          <w:rFonts w:hint="eastAsia" w:ascii="宋体" w:hAnsi="宋体" w:eastAsia="宋体" w:cs="宋体"/>
          <w:b/>
          <w:bCs/>
          <w:sz w:val="24"/>
          <w:szCs w:val="24"/>
          <w:highlight w:val="none"/>
          <w:lang w:val="en-US" w:eastAsia="zh-CN"/>
        </w:rPr>
      </w:pPr>
    </w:p>
    <w:p>
      <w:pPr>
        <w:numPr>
          <w:numId w:val="0"/>
        </w:numPr>
        <w:jc w:val="both"/>
        <w:rPr>
          <w:rFonts w:hint="eastAsia" w:ascii="宋体" w:hAnsi="宋体" w:eastAsia="宋体" w:cs="宋体"/>
          <w:b/>
          <w:bCs/>
          <w:sz w:val="24"/>
          <w:szCs w:val="24"/>
          <w:highlight w:val="none"/>
          <w:lang w:val="en-US" w:eastAsia="zh-CN"/>
        </w:rPr>
      </w:pPr>
    </w:p>
    <w:p>
      <w:pPr>
        <w:numPr>
          <w:numId w:val="0"/>
        </w:numPr>
        <w:jc w:val="both"/>
        <w:rPr>
          <w:rFonts w:hint="eastAsia" w:ascii="宋体" w:hAnsi="宋体" w:eastAsia="宋体" w:cs="宋体"/>
          <w:b/>
          <w:bCs/>
          <w:sz w:val="24"/>
          <w:szCs w:val="24"/>
          <w:highlight w:val="none"/>
          <w:lang w:val="en-US" w:eastAsia="zh-CN"/>
        </w:rPr>
      </w:pPr>
    </w:p>
    <w:p>
      <w:pPr>
        <w:numPr>
          <w:numId w:val="0"/>
        </w:numPr>
        <w:jc w:val="both"/>
        <w:rPr>
          <w:rFonts w:hint="eastAsia" w:ascii="宋体" w:hAnsi="宋体" w:eastAsia="宋体" w:cs="宋体"/>
          <w:b/>
          <w:bCs/>
          <w:sz w:val="24"/>
          <w:szCs w:val="24"/>
          <w:highlight w:val="none"/>
          <w:lang w:val="en-US" w:eastAsia="zh-CN"/>
        </w:rPr>
      </w:pPr>
    </w:p>
    <w:p>
      <w:pPr>
        <w:numPr>
          <w:numId w:val="0"/>
        </w:numPr>
        <w:jc w:val="both"/>
        <w:rPr>
          <w:rFonts w:hint="eastAsia" w:ascii="宋体" w:hAnsi="宋体" w:eastAsia="宋体" w:cs="宋体"/>
          <w:b/>
          <w:bCs/>
          <w:sz w:val="24"/>
          <w:szCs w:val="24"/>
          <w:highlight w:val="none"/>
          <w:lang w:val="en-US" w:eastAsia="zh-CN"/>
        </w:rPr>
      </w:pPr>
    </w:p>
    <w:p>
      <w:pPr>
        <w:numPr>
          <w:numId w:val="0"/>
        </w:numPr>
        <w:jc w:val="both"/>
        <w:rPr>
          <w:rFonts w:hint="eastAsia" w:ascii="宋体" w:hAnsi="宋体" w:eastAsia="宋体" w:cs="宋体"/>
          <w:b/>
          <w:bCs/>
          <w:sz w:val="24"/>
          <w:szCs w:val="24"/>
          <w:highlight w:val="none"/>
          <w:lang w:val="en-US" w:eastAsia="zh-CN"/>
        </w:rPr>
      </w:pPr>
    </w:p>
    <w:p>
      <w:pPr>
        <w:numPr>
          <w:numId w:val="0"/>
        </w:numPr>
        <w:jc w:val="center"/>
        <w:rPr>
          <w:rFonts w:hint="eastAsia" w:ascii="宋体" w:hAnsi="宋体" w:eastAsia="宋体" w:cs="宋体"/>
          <w:b/>
          <w:bCs/>
          <w:sz w:val="32"/>
          <w:szCs w:val="32"/>
          <w:highlight w:val="none"/>
          <w:lang w:val="en-US" w:eastAsia="zh-CN"/>
        </w:rPr>
      </w:pPr>
    </w:p>
    <w:p>
      <w:pPr>
        <w:numPr>
          <w:numId w:val="0"/>
        </w:numPr>
        <w:jc w:val="center"/>
        <w:rPr>
          <w:rFonts w:hint="eastAsia" w:ascii="宋体" w:hAnsi="宋体" w:eastAsia="宋体" w:cs="宋体"/>
          <w:b/>
          <w:bCs/>
          <w:sz w:val="32"/>
          <w:szCs w:val="32"/>
          <w:highlight w:val="none"/>
          <w:lang w:val="en-US" w:eastAsia="zh-CN"/>
        </w:rPr>
      </w:pPr>
    </w:p>
    <w:p>
      <w:pPr>
        <w:numPr>
          <w:numId w:val="0"/>
        </w:num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一、总 则</w:t>
      </w:r>
    </w:p>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1.适用范围</w:t>
      </w:r>
    </w:p>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w:t>
      </w:r>
      <w:r>
        <w:rPr>
          <w:rFonts w:hint="eastAsia" w:ascii="宋体" w:hAnsi="宋体" w:cs="宋体"/>
          <w:sz w:val="24"/>
          <w:szCs w:val="24"/>
          <w:highlight w:val="none"/>
          <w:lang w:val="en-US" w:eastAsia="zh-CN"/>
        </w:rPr>
        <w:t>采购文件</w:t>
      </w:r>
      <w:r>
        <w:rPr>
          <w:rFonts w:hint="eastAsia" w:ascii="宋体" w:hAnsi="宋体" w:eastAsia="宋体" w:cs="宋体"/>
          <w:sz w:val="24"/>
          <w:szCs w:val="24"/>
          <w:highlight w:val="none"/>
          <w:lang w:val="en-US" w:eastAsia="zh-CN"/>
        </w:rPr>
        <w:t>仅适用于第一章《</w:t>
      </w:r>
      <w:r>
        <w:rPr>
          <w:rFonts w:hint="eastAsia" w:ascii="宋体" w:hAnsi="宋体" w:cs="宋体"/>
          <w:sz w:val="24"/>
          <w:szCs w:val="24"/>
          <w:highlight w:val="none"/>
          <w:lang w:val="en-US" w:eastAsia="zh-CN"/>
        </w:rPr>
        <w:t>招标公告</w:t>
      </w:r>
      <w:r>
        <w:rPr>
          <w:rFonts w:hint="eastAsia" w:ascii="宋体" w:hAnsi="宋体" w:eastAsia="宋体" w:cs="宋体"/>
          <w:sz w:val="24"/>
          <w:szCs w:val="24"/>
          <w:highlight w:val="none"/>
          <w:lang w:val="en-US" w:eastAsia="zh-CN"/>
        </w:rPr>
        <w:t>》中所叙述的项目。</w:t>
      </w:r>
    </w:p>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2.定义</w:t>
      </w:r>
    </w:p>
    <w:p>
      <w:pPr>
        <w:widowControl w:val="0"/>
        <w:numPr>
          <w:numId w:val="0"/>
        </w:numPr>
        <w:wordWrap/>
        <w:adjustRightInd/>
        <w:snapToGrid/>
        <w:spacing w:line="360" w:lineRule="auto"/>
        <w:ind w:leftChars="0" w:right="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系指</w:t>
      </w:r>
      <w:r>
        <w:rPr>
          <w:rFonts w:hint="eastAsia" w:ascii="宋体" w:hAnsi="宋体" w:cs="宋体"/>
          <w:sz w:val="24"/>
          <w:szCs w:val="24"/>
          <w:highlight w:val="none"/>
          <w:lang w:val="en-US" w:eastAsia="zh-CN"/>
        </w:rPr>
        <w:t>临沂市兰山区朱保镇卫生院</w:t>
      </w:r>
      <w:r>
        <w:rPr>
          <w:rFonts w:hint="eastAsia" w:ascii="宋体" w:hAnsi="宋体" w:eastAsia="宋体" w:cs="宋体"/>
          <w:sz w:val="24"/>
          <w:szCs w:val="24"/>
          <w:highlight w:val="none"/>
          <w:lang w:val="en-US" w:eastAsia="zh-CN"/>
        </w:rPr>
        <w:t xml:space="preserve"> 。</w:t>
      </w:r>
    </w:p>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采购代理机构</w:t>
      </w:r>
      <w:r>
        <w:rPr>
          <w:rFonts w:hint="eastAsia" w:ascii="宋体" w:hAnsi="宋体" w:eastAsia="宋体" w:cs="宋体"/>
          <w:sz w:val="24"/>
          <w:szCs w:val="24"/>
          <w:highlight w:val="none"/>
          <w:lang w:val="en-US" w:eastAsia="zh-CN"/>
        </w:rPr>
        <w:t>系指山东省建设工程招标中心有限公司。</w:t>
      </w:r>
    </w:p>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3）投标人系指响应招标、参加投标竞争的法人单位或其他组织。</w:t>
      </w:r>
    </w:p>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4）评标委员会系指由采购单位依法负责组织，由</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和有关专家组成以确定</w:t>
      </w:r>
      <w:r>
        <w:rPr>
          <w:rFonts w:hint="eastAsia" w:ascii="宋体" w:hAnsi="宋体" w:cs="宋体"/>
          <w:sz w:val="24"/>
          <w:szCs w:val="24"/>
          <w:highlight w:val="none"/>
          <w:lang w:val="en-US" w:eastAsia="zh-CN"/>
        </w:rPr>
        <w:t>成交人</w:t>
      </w:r>
      <w:r>
        <w:rPr>
          <w:rFonts w:hint="eastAsia" w:ascii="宋体" w:hAnsi="宋体" w:eastAsia="宋体" w:cs="宋体"/>
          <w:sz w:val="24"/>
          <w:szCs w:val="24"/>
          <w:highlight w:val="none"/>
          <w:lang w:val="en-US" w:eastAsia="zh-CN"/>
        </w:rPr>
        <w:t>的临时组织。</w:t>
      </w:r>
    </w:p>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lang w:val="en-US" w:eastAsia="zh-CN"/>
        </w:rPr>
        <w:t>单位系指由评标委员会评标确定的对</w:t>
      </w:r>
      <w:r>
        <w:rPr>
          <w:rFonts w:hint="eastAsia" w:ascii="宋体" w:hAnsi="宋体" w:cs="宋体"/>
          <w:sz w:val="24"/>
          <w:szCs w:val="24"/>
          <w:highlight w:val="none"/>
          <w:lang w:val="en-US" w:eastAsia="zh-CN"/>
        </w:rPr>
        <w:t>采购文件</w:t>
      </w:r>
      <w:r>
        <w:rPr>
          <w:rFonts w:hint="eastAsia" w:ascii="宋体" w:hAnsi="宋体" w:eastAsia="宋体" w:cs="宋体"/>
          <w:sz w:val="24"/>
          <w:szCs w:val="24"/>
          <w:highlight w:val="none"/>
          <w:lang w:val="en-US" w:eastAsia="zh-CN"/>
        </w:rPr>
        <w:t>做出实质性响应较强，综合竞争实力最优，取得与</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签订合同资格的投标人。</w:t>
      </w:r>
    </w:p>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3.使用文字种类、计量单位、时间单位及货币种类</w:t>
      </w:r>
    </w:p>
    <w:p>
      <w:pPr>
        <w:pStyle w:val="9"/>
        <w:widowControl w:val="0"/>
        <w:spacing w:before="0" w:beforeAutospacing="0" w:after="0" w:afterAutospacing="0" w:line="440" w:lineRule="exact"/>
        <w:jc w:val="both"/>
        <w:rPr>
          <w:rFonts w:hint="eastAsia" w:ascii="宋体" w:hAnsi="宋体" w:eastAsia="宋体" w:cs="宋体"/>
          <w:kern w:val="2"/>
          <w:sz w:val="24"/>
          <w:szCs w:val="24"/>
          <w:highlight w:val="none"/>
          <w:lang w:val="en-US" w:eastAsia="zh-CN" w:bidi="ar-SA"/>
        </w:rPr>
      </w:pPr>
      <w:r>
        <w:rPr>
          <w:rFonts w:hint="eastAsia" w:eastAsia="宋体" w:cs="宋体"/>
          <w:kern w:val="2"/>
          <w:sz w:val="24"/>
          <w:szCs w:val="24"/>
          <w:highlight w:val="none"/>
          <w:lang w:val="en-US" w:eastAsia="zh-CN" w:bidi="ar-SA"/>
        </w:rPr>
        <w:t>1）</w:t>
      </w:r>
      <w:r>
        <w:rPr>
          <w:rFonts w:hint="eastAsia" w:cs="宋体"/>
          <w:kern w:val="2"/>
          <w:sz w:val="24"/>
          <w:szCs w:val="24"/>
          <w:highlight w:val="none"/>
          <w:lang w:val="en-US" w:eastAsia="zh-CN" w:bidi="ar-SA"/>
        </w:rPr>
        <w:t>采购文件</w:t>
      </w:r>
      <w:r>
        <w:rPr>
          <w:rFonts w:hint="eastAsia" w:ascii="宋体" w:hAnsi="宋体" w:eastAsia="宋体" w:cs="宋体"/>
          <w:kern w:val="2"/>
          <w:sz w:val="24"/>
          <w:szCs w:val="24"/>
          <w:highlight w:val="none"/>
          <w:lang w:val="en-US" w:eastAsia="zh-CN" w:bidi="ar-SA"/>
        </w:rPr>
        <w:t>、投标文件、</w:t>
      </w:r>
      <w:r>
        <w:rPr>
          <w:rFonts w:hint="eastAsia" w:cs="宋体"/>
          <w:kern w:val="2"/>
          <w:sz w:val="24"/>
          <w:szCs w:val="24"/>
          <w:highlight w:val="none"/>
          <w:lang w:val="en-US" w:eastAsia="zh-CN" w:bidi="ar-SA"/>
        </w:rPr>
        <w:t>采购代理机构</w:t>
      </w:r>
      <w:r>
        <w:rPr>
          <w:rFonts w:hint="eastAsia" w:ascii="宋体" w:hAnsi="宋体" w:eastAsia="宋体" w:cs="宋体"/>
          <w:kern w:val="2"/>
          <w:sz w:val="24"/>
          <w:szCs w:val="24"/>
          <w:highlight w:val="none"/>
          <w:lang w:val="en-US" w:eastAsia="zh-CN" w:bidi="ar-SA"/>
        </w:rPr>
        <w:t>与</w:t>
      </w:r>
      <w:r>
        <w:rPr>
          <w:rFonts w:hint="eastAsia" w:eastAsia="宋体" w:cs="宋体"/>
          <w:kern w:val="2"/>
          <w:sz w:val="24"/>
          <w:szCs w:val="24"/>
          <w:highlight w:val="none"/>
          <w:lang w:val="en-US" w:eastAsia="zh-CN" w:bidi="ar-SA"/>
        </w:rPr>
        <w:t>投标人</w:t>
      </w:r>
      <w:r>
        <w:rPr>
          <w:rFonts w:hint="eastAsia" w:ascii="宋体" w:hAnsi="宋体" w:eastAsia="宋体" w:cs="宋体"/>
          <w:kern w:val="2"/>
          <w:sz w:val="24"/>
          <w:szCs w:val="24"/>
          <w:highlight w:val="none"/>
          <w:lang w:val="en-US" w:eastAsia="zh-CN" w:bidi="ar-SA"/>
        </w:rPr>
        <w:t>之间有关招标活动所有书面形式</w:t>
      </w:r>
      <w:r>
        <w:rPr>
          <w:rFonts w:hint="eastAsia" w:eastAsia="宋体" w:cs="宋体"/>
          <w:kern w:val="2"/>
          <w:sz w:val="24"/>
          <w:szCs w:val="24"/>
          <w:highlight w:val="none"/>
          <w:lang w:val="en-US" w:eastAsia="zh-CN" w:bidi="ar-SA"/>
        </w:rPr>
        <w:t>（包括书面文字、电传、传真、电报，下同）</w:t>
      </w:r>
      <w:r>
        <w:rPr>
          <w:rFonts w:hint="eastAsia" w:ascii="宋体" w:hAnsi="宋体" w:eastAsia="宋体" w:cs="宋体"/>
          <w:kern w:val="2"/>
          <w:sz w:val="24"/>
          <w:szCs w:val="24"/>
          <w:highlight w:val="none"/>
          <w:lang w:val="en-US" w:eastAsia="zh-CN" w:bidi="ar-SA"/>
        </w:rPr>
        <w:t>的来往函件、记录等均应使用简体中文。</w:t>
      </w:r>
    </w:p>
    <w:p>
      <w:pPr>
        <w:pStyle w:val="9"/>
        <w:widowControl w:val="0"/>
        <w:spacing w:before="0" w:beforeAutospacing="0" w:after="0" w:afterAutospacing="0" w:line="440" w:lineRule="exact"/>
        <w:jc w:val="both"/>
        <w:rPr>
          <w:rFonts w:hint="eastAsia" w:ascii="宋体" w:hAnsi="宋体" w:eastAsia="宋体" w:cs="宋体"/>
          <w:kern w:val="2"/>
          <w:sz w:val="24"/>
          <w:szCs w:val="24"/>
          <w:highlight w:val="none"/>
          <w:lang w:val="en-US" w:eastAsia="zh-CN" w:bidi="ar-SA"/>
        </w:rPr>
      </w:pPr>
      <w:r>
        <w:rPr>
          <w:rFonts w:hint="eastAsia" w:eastAsia="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除</w:t>
      </w:r>
      <w:r>
        <w:rPr>
          <w:rFonts w:hint="eastAsia" w:cs="宋体"/>
          <w:kern w:val="2"/>
          <w:sz w:val="24"/>
          <w:szCs w:val="24"/>
          <w:highlight w:val="none"/>
          <w:lang w:val="en-US" w:eastAsia="zh-CN" w:bidi="ar-SA"/>
        </w:rPr>
        <w:t>采购文件</w:t>
      </w:r>
      <w:r>
        <w:rPr>
          <w:rFonts w:hint="eastAsia" w:ascii="宋体" w:hAnsi="宋体" w:eastAsia="宋体" w:cs="宋体"/>
          <w:kern w:val="2"/>
          <w:sz w:val="24"/>
          <w:szCs w:val="24"/>
          <w:highlight w:val="none"/>
          <w:lang w:val="en-US" w:eastAsia="zh-CN" w:bidi="ar-SA"/>
        </w:rPr>
        <w:t>中另有规定外，投标文件所使用的计量单位，均须采用中华人民共和国法定计量单位。</w:t>
      </w:r>
    </w:p>
    <w:p>
      <w:pPr>
        <w:pStyle w:val="9"/>
        <w:widowControl w:val="0"/>
        <w:spacing w:before="0" w:beforeAutospacing="0" w:after="0" w:afterAutospacing="0" w:line="440" w:lineRule="exact"/>
        <w:jc w:val="both"/>
        <w:rPr>
          <w:rFonts w:hint="eastAsia" w:ascii="宋体" w:hAnsi="宋体" w:eastAsia="宋体" w:cs="宋体"/>
          <w:kern w:val="2"/>
          <w:sz w:val="24"/>
          <w:szCs w:val="24"/>
          <w:highlight w:val="none"/>
          <w:lang w:val="en-US" w:eastAsia="zh-CN" w:bidi="ar-SA"/>
        </w:rPr>
      </w:pPr>
      <w:r>
        <w:rPr>
          <w:rFonts w:hint="eastAsia" w:eastAsia="宋体" w:cs="宋体"/>
          <w:kern w:val="2"/>
          <w:sz w:val="24"/>
          <w:szCs w:val="24"/>
          <w:highlight w:val="none"/>
          <w:lang w:val="en-US" w:eastAsia="zh-CN" w:bidi="ar-SA"/>
        </w:rPr>
        <w:t>3）</w:t>
      </w:r>
      <w:r>
        <w:rPr>
          <w:rFonts w:hint="eastAsia" w:cs="宋体"/>
          <w:kern w:val="2"/>
          <w:sz w:val="24"/>
          <w:szCs w:val="24"/>
          <w:highlight w:val="none"/>
          <w:lang w:val="en-US" w:eastAsia="zh-CN" w:bidi="ar-SA"/>
        </w:rPr>
        <w:t>采购文件</w:t>
      </w:r>
      <w:r>
        <w:rPr>
          <w:rFonts w:hint="eastAsia" w:ascii="宋体" w:hAnsi="宋体" w:eastAsia="宋体" w:cs="宋体"/>
          <w:kern w:val="2"/>
          <w:sz w:val="24"/>
          <w:szCs w:val="24"/>
          <w:highlight w:val="none"/>
          <w:lang w:val="en-US" w:eastAsia="zh-CN" w:bidi="ar-SA"/>
        </w:rPr>
        <w:t>及投标文件中有关货币的数额表示全部以人民币计算。</w:t>
      </w:r>
    </w:p>
    <w:p>
      <w:pPr>
        <w:pStyle w:val="9"/>
        <w:widowControl w:val="0"/>
        <w:spacing w:before="0" w:beforeAutospacing="0" w:after="0" w:afterAutospacing="0" w:line="440" w:lineRule="exact"/>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4.投标费用</w:t>
      </w:r>
    </w:p>
    <w:p>
      <w:pPr>
        <w:pStyle w:val="9"/>
        <w:widowControl w:val="0"/>
        <w:spacing w:before="0" w:beforeAutospacing="0" w:after="0" w:afterAutospacing="0" w:line="440" w:lineRule="exact"/>
        <w:jc w:val="both"/>
        <w:rPr>
          <w:rFonts w:hint="eastAsia" w:ascii="宋体" w:hAnsi="宋体" w:eastAsia="宋体" w:cs="宋体"/>
          <w:kern w:val="2"/>
          <w:sz w:val="24"/>
          <w:szCs w:val="24"/>
          <w:highlight w:val="none"/>
          <w:lang w:val="en-US" w:eastAsia="zh-CN" w:bidi="ar-SA"/>
        </w:rPr>
      </w:pPr>
      <w:r>
        <w:rPr>
          <w:rFonts w:hint="eastAsia" w:eastAsia="宋体" w:cs="宋体"/>
          <w:kern w:val="2"/>
          <w:sz w:val="24"/>
          <w:szCs w:val="24"/>
          <w:highlight w:val="none"/>
          <w:lang w:val="en-US" w:eastAsia="zh-CN" w:bidi="ar-SA"/>
        </w:rPr>
        <w:t>1）投标人</w:t>
      </w:r>
      <w:r>
        <w:rPr>
          <w:rFonts w:hint="eastAsia" w:ascii="宋体" w:hAnsi="宋体" w:eastAsia="宋体" w:cs="宋体"/>
          <w:kern w:val="2"/>
          <w:sz w:val="24"/>
          <w:szCs w:val="24"/>
          <w:highlight w:val="none"/>
          <w:lang w:val="en-US" w:eastAsia="zh-CN" w:bidi="ar-SA"/>
        </w:rPr>
        <w:t>应自行承担所有与参加投标有关的费用。不论投标的结果如何，</w:t>
      </w:r>
      <w:r>
        <w:rPr>
          <w:rFonts w:hint="eastAsia" w:cs="宋体"/>
          <w:kern w:val="2"/>
          <w:sz w:val="24"/>
          <w:szCs w:val="24"/>
          <w:highlight w:val="none"/>
          <w:lang w:val="en-US" w:eastAsia="zh-CN" w:bidi="ar-SA"/>
        </w:rPr>
        <w:t>采购人</w:t>
      </w:r>
      <w:r>
        <w:rPr>
          <w:rFonts w:hint="eastAsia" w:ascii="宋体" w:hAnsi="宋体" w:eastAsia="宋体" w:cs="宋体"/>
          <w:kern w:val="2"/>
          <w:sz w:val="24"/>
          <w:szCs w:val="24"/>
          <w:highlight w:val="none"/>
          <w:lang w:val="en-US" w:eastAsia="zh-CN" w:bidi="ar-SA"/>
        </w:rPr>
        <w:t>、</w:t>
      </w:r>
      <w:r>
        <w:rPr>
          <w:rFonts w:hint="eastAsia" w:cs="宋体"/>
          <w:kern w:val="2"/>
          <w:sz w:val="24"/>
          <w:szCs w:val="24"/>
          <w:highlight w:val="none"/>
          <w:lang w:val="en-US" w:eastAsia="zh-CN" w:bidi="ar-SA"/>
        </w:rPr>
        <w:t>采购代理机构</w:t>
      </w:r>
      <w:r>
        <w:rPr>
          <w:rFonts w:hint="eastAsia" w:ascii="宋体" w:hAnsi="宋体" w:eastAsia="宋体" w:cs="宋体"/>
          <w:kern w:val="2"/>
          <w:sz w:val="24"/>
          <w:szCs w:val="24"/>
          <w:highlight w:val="none"/>
          <w:lang w:val="en-US" w:eastAsia="zh-CN" w:bidi="ar-SA"/>
        </w:rPr>
        <w:t>在任何情况下均无义务和责任承担这些费用。</w:t>
      </w:r>
    </w:p>
    <w:p>
      <w:pPr>
        <w:pStyle w:val="9"/>
        <w:widowControl w:val="0"/>
        <w:spacing w:before="0" w:beforeAutospacing="0" w:after="0" w:afterAutospacing="0" w:line="440" w:lineRule="exact"/>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5.合格的供应商</w:t>
      </w:r>
    </w:p>
    <w:p>
      <w:pPr>
        <w:pStyle w:val="9"/>
        <w:widowControl w:val="0"/>
        <w:spacing w:before="0" w:beforeAutospacing="0" w:after="0" w:afterAutospacing="0" w:line="440" w:lineRule="exact"/>
        <w:jc w:val="both"/>
        <w:rPr>
          <w:rFonts w:hint="eastAsia"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bidi="ar-SA"/>
        </w:rPr>
        <w:t>1）投标人必须满足</w:t>
      </w:r>
      <w:r>
        <w:rPr>
          <w:rFonts w:hint="eastAsia" w:cs="宋体"/>
          <w:color w:val="auto"/>
          <w:kern w:val="2"/>
          <w:sz w:val="24"/>
          <w:szCs w:val="24"/>
          <w:highlight w:val="none"/>
          <w:lang w:val="en-US" w:eastAsia="zh-CN" w:bidi="ar-SA"/>
        </w:rPr>
        <w:t>采购文件</w:t>
      </w:r>
      <w:r>
        <w:rPr>
          <w:rFonts w:hint="eastAsia" w:eastAsia="宋体" w:cs="宋体"/>
          <w:color w:val="auto"/>
          <w:kern w:val="2"/>
          <w:sz w:val="24"/>
          <w:szCs w:val="24"/>
          <w:highlight w:val="none"/>
          <w:lang w:val="en-US" w:eastAsia="zh-CN" w:bidi="ar-SA"/>
        </w:rPr>
        <w:t>第一章《</w:t>
      </w:r>
      <w:r>
        <w:rPr>
          <w:rFonts w:hint="eastAsia" w:cs="宋体"/>
          <w:color w:val="auto"/>
          <w:kern w:val="2"/>
          <w:sz w:val="24"/>
          <w:szCs w:val="24"/>
          <w:highlight w:val="none"/>
          <w:lang w:val="en-US" w:eastAsia="zh-CN" w:bidi="ar-SA"/>
        </w:rPr>
        <w:t>招标公告</w:t>
      </w:r>
      <w:r>
        <w:rPr>
          <w:rFonts w:hint="eastAsia" w:eastAsia="宋体" w:cs="宋体"/>
          <w:color w:val="auto"/>
          <w:kern w:val="2"/>
          <w:sz w:val="24"/>
          <w:szCs w:val="24"/>
          <w:highlight w:val="none"/>
          <w:lang w:val="en-US" w:eastAsia="zh-CN" w:bidi="ar-SA"/>
        </w:rPr>
        <w:t>》中的相关要求。</w:t>
      </w:r>
    </w:p>
    <w:p>
      <w:pPr>
        <w:pStyle w:val="9"/>
        <w:widowControl w:val="0"/>
        <w:spacing w:before="0" w:beforeAutospacing="0" w:after="0" w:afterAutospacing="0" w:line="440" w:lineRule="exact"/>
        <w:jc w:val="both"/>
        <w:rPr>
          <w:rFonts w:hint="eastAsia"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bidi="ar-SA"/>
        </w:rPr>
        <w:t>2）投标人必须向</w:t>
      </w:r>
      <w:r>
        <w:rPr>
          <w:rFonts w:hint="eastAsia" w:cs="宋体"/>
          <w:color w:val="auto"/>
          <w:kern w:val="2"/>
          <w:sz w:val="24"/>
          <w:szCs w:val="24"/>
          <w:highlight w:val="none"/>
          <w:lang w:val="en-US" w:eastAsia="zh-CN" w:bidi="ar-SA"/>
        </w:rPr>
        <w:t>采购代理机构</w:t>
      </w:r>
      <w:r>
        <w:rPr>
          <w:rFonts w:hint="eastAsia" w:eastAsia="宋体" w:cs="宋体"/>
          <w:color w:val="auto"/>
          <w:kern w:val="2"/>
          <w:sz w:val="24"/>
          <w:szCs w:val="24"/>
          <w:highlight w:val="none"/>
          <w:lang w:val="en-US" w:eastAsia="zh-CN" w:bidi="ar-SA"/>
        </w:rPr>
        <w:t>领取</w:t>
      </w:r>
      <w:r>
        <w:rPr>
          <w:rFonts w:hint="eastAsia" w:cs="宋体"/>
          <w:color w:val="auto"/>
          <w:kern w:val="2"/>
          <w:sz w:val="24"/>
          <w:szCs w:val="24"/>
          <w:highlight w:val="none"/>
          <w:lang w:val="en-US" w:eastAsia="zh-CN" w:bidi="ar-SA"/>
        </w:rPr>
        <w:t>采购文件</w:t>
      </w:r>
      <w:r>
        <w:rPr>
          <w:rFonts w:hint="eastAsia" w:eastAsia="宋体" w:cs="宋体"/>
          <w:color w:val="auto"/>
          <w:kern w:val="2"/>
          <w:sz w:val="24"/>
          <w:szCs w:val="24"/>
          <w:highlight w:val="none"/>
          <w:lang w:val="en-US" w:eastAsia="zh-CN" w:bidi="ar-SA"/>
        </w:rPr>
        <w:t>并登记备案。</w:t>
      </w:r>
    </w:p>
    <w:p>
      <w:pPr>
        <w:pStyle w:val="9"/>
        <w:widowControl w:val="0"/>
        <w:spacing w:before="0" w:beforeAutospacing="0" w:after="0" w:afterAutospacing="0" w:line="440" w:lineRule="exact"/>
        <w:jc w:val="both"/>
        <w:rPr>
          <w:rFonts w:hint="eastAsia"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bidi="ar-SA"/>
        </w:rPr>
        <w:t>3）在以往的政府采购活动中没有违纪、违规、违约等不良行为。</w:t>
      </w:r>
    </w:p>
    <w:p>
      <w:pPr>
        <w:pStyle w:val="9"/>
        <w:widowControl w:val="0"/>
        <w:spacing w:before="0" w:beforeAutospacing="0" w:after="0" w:afterAutospacing="0" w:line="440" w:lineRule="exact"/>
        <w:jc w:val="both"/>
        <w:rPr>
          <w:rFonts w:hint="eastAsia"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bidi="ar-SA"/>
        </w:rPr>
        <w:t>4）投标人必须遵守国家、山东省、临沂市有关的法律、法规和政策。</w:t>
      </w:r>
    </w:p>
    <w:p>
      <w:pPr>
        <w:pStyle w:val="9"/>
        <w:widowControl w:val="0"/>
        <w:spacing w:before="0" w:beforeAutospacing="0" w:after="0" w:afterAutospacing="0" w:line="440" w:lineRule="exact"/>
        <w:jc w:val="both"/>
        <w:rPr>
          <w:rFonts w:hint="eastAsia"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bidi="ar-SA"/>
        </w:rPr>
        <w:t>5）</w:t>
      </w:r>
      <w:r>
        <w:rPr>
          <w:rFonts w:hint="eastAsia" w:cs="宋体"/>
          <w:color w:val="auto"/>
          <w:kern w:val="2"/>
          <w:sz w:val="24"/>
          <w:szCs w:val="24"/>
          <w:highlight w:val="none"/>
          <w:lang w:val="en-US" w:eastAsia="zh-CN" w:bidi="ar-SA"/>
        </w:rPr>
        <w:t>采购文件</w:t>
      </w:r>
      <w:r>
        <w:rPr>
          <w:rFonts w:hint="eastAsia" w:eastAsia="宋体" w:cs="宋体"/>
          <w:color w:val="auto"/>
          <w:kern w:val="2"/>
          <w:sz w:val="24"/>
          <w:szCs w:val="24"/>
          <w:highlight w:val="none"/>
          <w:lang w:val="en-US" w:eastAsia="zh-CN" w:bidi="ar-SA"/>
        </w:rPr>
        <w:t>的其它规定和要求。</w:t>
      </w:r>
    </w:p>
    <w:p>
      <w:pPr>
        <w:pStyle w:val="9"/>
        <w:widowControl w:val="0"/>
        <w:spacing w:before="0" w:beforeAutospacing="0" w:after="0" w:afterAutospacing="0" w:line="440" w:lineRule="exact"/>
        <w:jc w:val="both"/>
        <w:rPr>
          <w:rFonts w:hint="eastAsia"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bidi="ar-SA"/>
        </w:rPr>
        <w:t>6）合格的投标人的投标材料将获得被评审的资格。</w:t>
      </w:r>
    </w:p>
    <w:p>
      <w:pPr>
        <w:pStyle w:val="9"/>
        <w:widowControl w:val="0"/>
        <w:spacing w:before="0" w:beforeAutospacing="0" w:after="0" w:afterAutospacing="0" w:line="440" w:lineRule="exact"/>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6.投标有效期</w:t>
      </w:r>
    </w:p>
    <w:p>
      <w:pPr>
        <w:pStyle w:val="9"/>
        <w:widowControl w:val="0"/>
        <w:spacing w:before="0" w:beforeAutospacing="0" w:after="0" w:afterAutospacing="0" w:line="440" w:lineRule="exact"/>
        <w:jc w:val="both"/>
        <w:rPr>
          <w:rFonts w:hint="eastAsia" w:eastAsia="宋体" w:cs="宋体"/>
          <w:kern w:val="2"/>
          <w:sz w:val="24"/>
          <w:szCs w:val="24"/>
          <w:highlight w:val="none"/>
          <w:lang w:val="en-US" w:eastAsia="zh-CN" w:bidi="ar-SA"/>
        </w:rPr>
      </w:pPr>
      <w:r>
        <w:rPr>
          <w:rFonts w:hint="eastAsia" w:eastAsia="宋体" w:cs="宋体"/>
          <w:kern w:val="2"/>
          <w:sz w:val="24"/>
          <w:szCs w:val="24"/>
          <w:highlight w:val="none"/>
          <w:lang w:val="en-US" w:eastAsia="zh-CN" w:bidi="ar-SA"/>
        </w:rPr>
        <w:t>1）投标文件的有效期为自投标截止时间起90个工作日。在此期间，凡符合</w:t>
      </w:r>
      <w:r>
        <w:rPr>
          <w:rFonts w:hint="eastAsia" w:cs="宋体"/>
          <w:kern w:val="2"/>
          <w:sz w:val="24"/>
          <w:szCs w:val="24"/>
          <w:highlight w:val="none"/>
          <w:lang w:val="en-US" w:eastAsia="zh-CN" w:bidi="ar-SA"/>
        </w:rPr>
        <w:t>采购文件</w:t>
      </w:r>
      <w:r>
        <w:rPr>
          <w:rFonts w:hint="eastAsia" w:eastAsia="宋体" w:cs="宋体"/>
          <w:kern w:val="2"/>
          <w:sz w:val="24"/>
          <w:szCs w:val="24"/>
          <w:highlight w:val="none"/>
          <w:lang w:val="en-US" w:eastAsia="zh-CN" w:bidi="ar-SA"/>
        </w:rPr>
        <w:t>要求的投标文件均保持有效；投标人的投标文件将受</w:t>
      </w:r>
      <w:r>
        <w:rPr>
          <w:rFonts w:hint="eastAsia" w:cs="宋体"/>
          <w:kern w:val="2"/>
          <w:sz w:val="24"/>
          <w:szCs w:val="24"/>
          <w:highlight w:val="none"/>
          <w:lang w:val="en-US" w:eastAsia="zh-CN" w:bidi="ar-SA"/>
        </w:rPr>
        <w:t>采购文件</w:t>
      </w:r>
      <w:r>
        <w:rPr>
          <w:rFonts w:hint="eastAsia" w:eastAsia="宋体" w:cs="宋体"/>
          <w:kern w:val="2"/>
          <w:sz w:val="24"/>
          <w:szCs w:val="24"/>
          <w:highlight w:val="none"/>
          <w:lang w:val="en-US" w:eastAsia="zh-CN" w:bidi="ar-SA"/>
        </w:rPr>
        <w:t>约束，如投标人被授予合同，投标人不得拒绝。</w:t>
      </w:r>
    </w:p>
    <w:p>
      <w:pPr>
        <w:pStyle w:val="9"/>
        <w:widowControl w:val="0"/>
        <w:spacing w:before="0" w:beforeAutospacing="0" w:after="0" w:afterAutospacing="0" w:line="440" w:lineRule="exact"/>
        <w:jc w:val="both"/>
        <w:rPr>
          <w:rFonts w:hint="eastAsia" w:eastAsia="宋体" w:cs="宋体"/>
          <w:kern w:val="2"/>
          <w:sz w:val="24"/>
          <w:szCs w:val="24"/>
          <w:highlight w:val="none"/>
          <w:lang w:val="en-US" w:eastAsia="zh-CN" w:bidi="ar-SA"/>
        </w:rPr>
      </w:pPr>
      <w:r>
        <w:rPr>
          <w:rFonts w:hint="eastAsia" w:eastAsia="宋体" w:cs="宋体"/>
          <w:kern w:val="2"/>
          <w:sz w:val="24"/>
          <w:szCs w:val="24"/>
          <w:highlight w:val="none"/>
          <w:lang w:val="en-US" w:eastAsia="zh-CN" w:bidi="ar-SA"/>
        </w:rPr>
        <w:t>2)原定投标有效期终止之前，若出现特殊情况，</w:t>
      </w:r>
      <w:r>
        <w:rPr>
          <w:rFonts w:hint="eastAsia" w:cs="宋体"/>
          <w:kern w:val="2"/>
          <w:sz w:val="24"/>
          <w:szCs w:val="24"/>
          <w:highlight w:val="none"/>
          <w:lang w:val="en-US" w:eastAsia="zh-CN" w:bidi="ar-SA"/>
        </w:rPr>
        <w:t>采购</w:t>
      </w:r>
      <w:r>
        <w:rPr>
          <w:rFonts w:hint="eastAsia" w:eastAsia="宋体" w:cs="宋体"/>
          <w:kern w:val="2"/>
          <w:sz w:val="24"/>
          <w:szCs w:val="24"/>
          <w:highlight w:val="none"/>
          <w:lang w:val="en-US" w:eastAsia="zh-CN" w:bidi="ar-SA"/>
        </w:rPr>
        <w:t>方可以书面形式向投标人提出延长投标有效期的要求。</w:t>
      </w:r>
    </w:p>
    <w:p>
      <w:pPr>
        <w:pStyle w:val="9"/>
        <w:widowControl w:val="0"/>
        <w:spacing w:before="0" w:beforeAutospacing="0" w:after="0" w:afterAutospacing="0" w:line="440" w:lineRule="exact"/>
        <w:jc w:val="both"/>
        <w:rPr>
          <w:rFonts w:hint="eastAsia" w:eastAsia="宋体" w:cs="宋体"/>
          <w:kern w:val="2"/>
          <w:sz w:val="24"/>
          <w:szCs w:val="24"/>
          <w:highlight w:val="none"/>
          <w:lang w:val="en-US" w:eastAsia="zh-CN" w:bidi="ar-SA"/>
        </w:rPr>
      </w:pPr>
      <w:r>
        <w:rPr>
          <w:rFonts w:hint="eastAsia" w:eastAsia="宋体" w:cs="宋体"/>
          <w:kern w:val="2"/>
          <w:sz w:val="24"/>
          <w:szCs w:val="24"/>
          <w:highlight w:val="none"/>
          <w:lang w:val="en-US" w:eastAsia="zh-CN" w:bidi="ar-SA"/>
        </w:rPr>
        <w:t>3）投标人须以书面形式答复是否接受延长投标有效期的要求。</w:t>
      </w:r>
    </w:p>
    <w:p>
      <w:pPr>
        <w:pStyle w:val="9"/>
        <w:widowControl w:val="0"/>
        <w:spacing w:before="0" w:beforeAutospacing="0" w:after="0" w:afterAutospacing="0" w:line="440" w:lineRule="exact"/>
        <w:jc w:val="both"/>
        <w:rPr>
          <w:rFonts w:hint="eastAsia" w:eastAsia="宋体" w:cs="宋体"/>
          <w:kern w:val="2"/>
          <w:sz w:val="24"/>
          <w:szCs w:val="24"/>
          <w:highlight w:val="none"/>
          <w:lang w:val="en-US" w:eastAsia="zh-CN" w:bidi="ar-SA"/>
        </w:rPr>
      </w:pPr>
      <w:r>
        <w:rPr>
          <w:rFonts w:hint="eastAsia" w:eastAsia="宋体" w:cs="宋体"/>
          <w:kern w:val="2"/>
          <w:sz w:val="24"/>
          <w:szCs w:val="24"/>
          <w:highlight w:val="none"/>
          <w:lang w:val="en-US" w:eastAsia="zh-CN" w:bidi="ar-SA"/>
        </w:rPr>
        <w:t>4）投标人可以拒绝这种要求并撤回投标文件而不被没收投标保证金。接受延长投标有效期的供应商不允许修改其投标文件，但需要相应延长投标保证金有效期。</w:t>
      </w:r>
    </w:p>
    <w:p>
      <w:pPr>
        <w:pStyle w:val="9"/>
        <w:widowControl w:val="0"/>
        <w:spacing w:before="0" w:beforeAutospacing="0" w:after="0" w:afterAutospacing="0" w:line="440" w:lineRule="exact"/>
        <w:jc w:val="both"/>
        <w:rPr>
          <w:rFonts w:hint="eastAsia" w:eastAsia="宋体" w:cs="宋体"/>
          <w:kern w:val="2"/>
          <w:sz w:val="24"/>
          <w:szCs w:val="24"/>
          <w:highlight w:val="none"/>
          <w:lang w:val="en-US" w:eastAsia="zh-CN" w:bidi="ar-SA"/>
        </w:rPr>
      </w:pPr>
      <w:r>
        <w:rPr>
          <w:rFonts w:hint="eastAsia" w:eastAsia="宋体" w:cs="宋体"/>
          <w:kern w:val="2"/>
          <w:sz w:val="24"/>
          <w:szCs w:val="24"/>
          <w:highlight w:val="none"/>
          <w:lang w:val="en-US" w:eastAsia="zh-CN" w:bidi="ar-SA"/>
        </w:rPr>
        <w:t>5）本须知第7条关于投标保证金的规定适用于延长后的投标有效期。</w:t>
      </w:r>
    </w:p>
    <w:p>
      <w:pPr>
        <w:pStyle w:val="9"/>
        <w:widowControl w:val="0"/>
        <w:spacing w:before="0" w:beforeAutospacing="0" w:after="0" w:afterAutospacing="0" w:line="440" w:lineRule="exact"/>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7.投标保证金</w:t>
      </w:r>
    </w:p>
    <w:p>
      <w:pPr>
        <w:pStyle w:val="9"/>
        <w:widowControl w:val="0"/>
        <w:spacing w:before="0" w:beforeAutospacing="0" w:after="0" w:afterAutospacing="0" w:line="440" w:lineRule="exact"/>
        <w:jc w:val="both"/>
        <w:rPr>
          <w:rFonts w:hint="eastAsia" w:eastAsia="宋体" w:cs="宋体"/>
          <w:kern w:val="2"/>
          <w:sz w:val="24"/>
          <w:szCs w:val="24"/>
          <w:highlight w:val="none"/>
          <w:lang w:val="en-US" w:eastAsia="zh-CN" w:bidi="ar-SA"/>
        </w:rPr>
      </w:pPr>
      <w:r>
        <w:rPr>
          <w:rFonts w:hint="eastAsia" w:eastAsia="宋体" w:cs="宋体"/>
          <w:kern w:val="2"/>
          <w:sz w:val="24"/>
          <w:szCs w:val="24"/>
          <w:highlight w:val="none"/>
          <w:lang w:val="en-US" w:eastAsia="zh-CN" w:bidi="ar-SA"/>
        </w:rPr>
        <w:t xml:space="preserve">    投标人的投标保证金是投标文件的组成部分，</w:t>
      </w:r>
      <w:r>
        <w:rPr>
          <w:rFonts w:hint="eastAsia" w:cs="宋体"/>
          <w:kern w:val="2"/>
          <w:sz w:val="24"/>
          <w:szCs w:val="24"/>
          <w:highlight w:val="none"/>
          <w:lang w:val="en-US" w:eastAsia="zh-CN" w:bidi="ar-SA"/>
        </w:rPr>
        <w:t>采购代理机构</w:t>
      </w:r>
      <w:r>
        <w:rPr>
          <w:rFonts w:hint="eastAsia" w:eastAsia="宋体" w:cs="宋体"/>
          <w:kern w:val="2"/>
          <w:sz w:val="24"/>
          <w:szCs w:val="24"/>
          <w:highlight w:val="none"/>
          <w:lang w:val="en-US" w:eastAsia="zh-CN" w:bidi="ar-SA"/>
        </w:rPr>
        <w:t>有权拒绝未按</w:t>
      </w:r>
      <w:r>
        <w:rPr>
          <w:rFonts w:hint="eastAsia" w:cs="宋体"/>
          <w:kern w:val="2"/>
          <w:sz w:val="24"/>
          <w:szCs w:val="24"/>
          <w:highlight w:val="none"/>
          <w:lang w:val="en-US" w:eastAsia="zh-CN" w:bidi="ar-SA"/>
        </w:rPr>
        <w:t>采购文件</w:t>
      </w:r>
      <w:r>
        <w:rPr>
          <w:rFonts w:hint="eastAsia" w:eastAsia="宋体" w:cs="宋体"/>
          <w:kern w:val="2"/>
          <w:sz w:val="24"/>
          <w:szCs w:val="24"/>
          <w:highlight w:val="none"/>
          <w:lang w:val="en-US" w:eastAsia="zh-CN" w:bidi="ar-SA"/>
        </w:rPr>
        <w:t>规定缴纳投标保证金的投标人的投标。未</w:t>
      </w:r>
      <w:r>
        <w:rPr>
          <w:rFonts w:hint="eastAsia" w:cs="宋体"/>
          <w:kern w:val="2"/>
          <w:sz w:val="24"/>
          <w:szCs w:val="24"/>
          <w:highlight w:val="none"/>
          <w:lang w:val="en-US" w:eastAsia="zh-CN" w:bidi="ar-SA"/>
        </w:rPr>
        <w:t>成交人</w:t>
      </w:r>
      <w:r>
        <w:rPr>
          <w:rFonts w:hint="eastAsia" w:eastAsia="宋体" w:cs="宋体"/>
          <w:kern w:val="2"/>
          <w:sz w:val="24"/>
          <w:szCs w:val="24"/>
          <w:highlight w:val="none"/>
          <w:lang w:val="en-US" w:eastAsia="zh-CN" w:bidi="ar-SA"/>
        </w:rPr>
        <w:t>的投标保证金在中标通知书发出后</w:t>
      </w:r>
      <w:r>
        <w:rPr>
          <w:rFonts w:hint="eastAsia" w:eastAsia="宋体" w:cs="宋体"/>
          <w:kern w:val="2"/>
          <w:sz w:val="24"/>
          <w:szCs w:val="24"/>
          <w:highlight w:val="none"/>
          <w:lang w:val="en-US" w:eastAsia="zh-CN" w:bidi="ar-SA"/>
        </w:rPr>
        <w:t>五个工作日内无息退还，</w:t>
      </w:r>
      <w:r>
        <w:rPr>
          <w:rFonts w:hint="eastAsia" w:cs="宋体"/>
          <w:kern w:val="2"/>
          <w:sz w:val="24"/>
          <w:szCs w:val="24"/>
          <w:highlight w:val="none"/>
          <w:lang w:val="en-US" w:eastAsia="zh-CN" w:bidi="ar-SA"/>
        </w:rPr>
        <w:t>成交人</w:t>
      </w:r>
      <w:r>
        <w:rPr>
          <w:rFonts w:hint="eastAsia" w:eastAsia="宋体" w:cs="宋体"/>
          <w:kern w:val="2"/>
          <w:sz w:val="24"/>
          <w:szCs w:val="24"/>
          <w:highlight w:val="none"/>
          <w:lang w:val="en-US" w:eastAsia="zh-CN" w:bidi="ar-SA"/>
        </w:rPr>
        <w:t>的投标保证金在签订合同后并交纳相关费用后五个工作日内一次性无息退还。</w:t>
      </w:r>
    </w:p>
    <w:p>
      <w:pPr>
        <w:pStyle w:val="9"/>
        <w:widowControl w:val="0"/>
        <w:numPr>
          <w:numId w:val="0"/>
        </w:numPr>
        <w:spacing w:before="0" w:beforeAutospacing="0" w:after="0" w:afterAutospacing="0" w:line="440" w:lineRule="exact"/>
        <w:jc w:val="both"/>
        <w:rPr>
          <w:rFonts w:hint="eastAsia" w:eastAsia="宋体" w:cs="宋体"/>
          <w:kern w:val="2"/>
          <w:sz w:val="24"/>
          <w:szCs w:val="24"/>
          <w:highlight w:val="none"/>
          <w:lang w:val="en-US" w:eastAsia="zh-CN" w:bidi="ar-SA"/>
        </w:rPr>
      </w:pPr>
      <w:r>
        <w:rPr>
          <w:rFonts w:hint="eastAsia" w:eastAsia="宋体" w:cs="宋体"/>
          <w:kern w:val="2"/>
          <w:sz w:val="24"/>
          <w:szCs w:val="24"/>
          <w:highlight w:val="none"/>
          <w:lang w:val="en-US" w:eastAsia="zh-CN" w:bidi="ar-SA"/>
        </w:rPr>
        <w:t>1）投标人须于投标截止时间前，以公司基本户公对公电汇的方式向临沂市政务服务中心交纳投标保证金</w:t>
      </w:r>
      <w:r>
        <w:rPr>
          <w:rFonts w:hint="eastAsia" w:cs="宋体"/>
          <w:kern w:val="2"/>
          <w:sz w:val="24"/>
          <w:szCs w:val="24"/>
          <w:highlight w:val="none"/>
          <w:lang w:val="en-US" w:eastAsia="zh-CN" w:bidi="ar-SA"/>
        </w:rPr>
        <w:t>6000</w:t>
      </w:r>
      <w:r>
        <w:rPr>
          <w:rFonts w:hint="eastAsia" w:eastAsia="宋体" w:cs="宋体"/>
          <w:kern w:val="2"/>
          <w:sz w:val="24"/>
          <w:szCs w:val="24"/>
          <w:highlight w:val="none"/>
          <w:lang w:val="en-US" w:eastAsia="zh-CN" w:bidi="ar-SA"/>
        </w:rPr>
        <w:t>元；汇款时请注明交易登记号：</w:t>
      </w:r>
      <w:r>
        <w:rPr>
          <w:rFonts w:hint="eastAsia" w:cs="宋体"/>
          <w:kern w:val="2"/>
          <w:sz w:val="24"/>
          <w:szCs w:val="24"/>
          <w:highlight w:val="none"/>
          <w:u w:val="single"/>
          <w:lang w:val="en-US" w:eastAsia="zh-CN" w:bidi="ar-SA"/>
        </w:rPr>
        <w:t>17CGLS0224</w:t>
      </w:r>
      <w:r>
        <w:rPr>
          <w:rFonts w:hint="eastAsia" w:eastAsia="宋体" w:cs="宋体"/>
          <w:kern w:val="2"/>
          <w:sz w:val="24"/>
          <w:szCs w:val="24"/>
          <w:highlight w:val="none"/>
          <w:lang w:val="en-US" w:eastAsia="zh-CN" w:bidi="ar-SA"/>
        </w:rPr>
        <w:t>，开标时携带汇款底单到政务中心资金结算处换取收据，收据与投标文件同时递交。（友情提示：因每笔保证金缴纳、换取凭据需一定时间，为不影响贵公司按时参加开标，请各投标单位缴纳投标保证金后，请与开标前半天到临沂市公共资源交易中心五楼资金结算窗口换取收据，因报价单位原因无法按时换取单据，造成递交时间延误，责任自负）。</w:t>
      </w:r>
    </w:p>
    <w:p>
      <w:pPr>
        <w:pStyle w:val="9"/>
        <w:widowControl w:val="0"/>
        <w:numPr>
          <w:numId w:val="0"/>
        </w:numPr>
        <w:spacing w:before="0" w:beforeAutospacing="0" w:after="0" w:afterAutospacing="0" w:line="440" w:lineRule="exact"/>
        <w:jc w:val="both"/>
        <w:rPr>
          <w:rFonts w:hint="eastAsia" w:eastAsia="宋体" w:cs="宋体"/>
          <w:kern w:val="2"/>
          <w:sz w:val="24"/>
          <w:szCs w:val="24"/>
          <w:highlight w:val="none"/>
          <w:lang w:val="en-US" w:eastAsia="zh-CN" w:bidi="ar-SA"/>
        </w:rPr>
      </w:pPr>
      <w:r>
        <w:rPr>
          <w:rFonts w:hint="eastAsia" w:cs="宋体"/>
          <w:kern w:val="2"/>
          <w:sz w:val="24"/>
          <w:szCs w:val="24"/>
          <w:highlight w:val="none"/>
          <w:lang w:val="en-US" w:eastAsia="zh-CN" w:bidi="ar-SA"/>
        </w:rPr>
        <w:t xml:space="preserve">      </w:t>
      </w:r>
      <w:r>
        <w:rPr>
          <w:rFonts w:hint="eastAsia" w:eastAsia="宋体" w:cs="宋体"/>
          <w:kern w:val="2"/>
          <w:sz w:val="24"/>
          <w:szCs w:val="24"/>
          <w:highlight w:val="none"/>
          <w:lang w:val="en-US" w:eastAsia="zh-CN" w:bidi="ar-SA"/>
        </w:rPr>
        <w:t xml:space="preserve"> 账户名称：临沂市政务服务中心管理办公室</w:t>
      </w:r>
    </w:p>
    <w:p>
      <w:pPr>
        <w:pStyle w:val="9"/>
        <w:widowControl w:val="0"/>
        <w:numPr>
          <w:numId w:val="0"/>
        </w:numPr>
        <w:spacing w:before="0" w:beforeAutospacing="0" w:after="0" w:afterAutospacing="0" w:line="440" w:lineRule="exact"/>
        <w:jc w:val="both"/>
        <w:rPr>
          <w:rFonts w:hint="eastAsia" w:eastAsia="宋体" w:cs="宋体"/>
          <w:kern w:val="2"/>
          <w:sz w:val="24"/>
          <w:szCs w:val="24"/>
          <w:highlight w:val="none"/>
          <w:lang w:val="en-US" w:eastAsia="zh-CN" w:bidi="ar-SA"/>
        </w:rPr>
      </w:pPr>
      <w:r>
        <w:rPr>
          <w:rFonts w:hint="eastAsia" w:cs="宋体"/>
          <w:kern w:val="2"/>
          <w:sz w:val="24"/>
          <w:szCs w:val="24"/>
          <w:highlight w:val="none"/>
          <w:lang w:val="en-US" w:eastAsia="zh-CN" w:bidi="ar-SA"/>
        </w:rPr>
        <w:t xml:space="preserve">       </w:t>
      </w:r>
      <w:r>
        <w:rPr>
          <w:rFonts w:hint="eastAsia" w:eastAsia="宋体" w:cs="宋体"/>
          <w:kern w:val="2"/>
          <w:sz w:val="24"/>
          <w:szCs w:val="24"/>
          <w:highlight w:val="none"/>
          <w:lang w:val="en-US" w:eastAsia="zh-CN" w:bidi="ar-SA"/>
        </w:rPr>
        <w:t>开户银行：临商银行新华支行</w:t>
      </w:r>
    </w:p>
    <w:p>
      <w:pPr>
        <w:pStyle w:val="9"/>
        <w:widowControl w:val="0"/>
        <w:numPr>
          <w:numId w:val="0"/>
        </w:numPr>
        <w:spacing w:before="0" w:beforeAutospacing="0" w:after="0" w:afterAutospacing="0" w:line="440" w:lineRule="exact"/>
        <w:jc w:val="both"/>
        <w:rPr>
          <w:rFonts w:hint="eastAsia" w:eastAsia="宋体" w:cs="宋体"/>
          <w:kern w:val="2"/>
          <w:sz w:val="24"/>
          <w:szCs w:val="24"/>
          <w:highlight w:val="none"/>
          <w:lang w:val="en-US" w:eastAsia="zh-CN" w:bidi="ar-SA"/>
        </w:rPr>
      </w:pPr>
      <w:r>
        <w:rPr>
          <w:rFonts w:hint="eastAsia" w:cs="宋体"/>
          <w:kern w:val="2"/>
          <w:sz w:val="24"/>
          <w:szCs w:val="24"/>
          <w:highlight w:val="none"/>
          <w:lang w:val="en-US" w:eastAsia="zh-CN" w:bidi="ar-SA"/>
        </w:rPr>
        <w:t xml:space="preserve">       </w:t>
      </w:r>
      <w:r>
        <w:rPr>
          <w:rFonts w:hint="eastAsia" w:eastAsia="宋体" w:cs="宋体"/>
          <w:kern w:val="2"/>
          <w:sz w:val="24"/>
          <w:szCs w:val="24"/>
          <w:highlight w:val="none"/>
          <w:lang w:val="en-US" w:eastAsia="zh-CN" w:bidi="ar-SA"/>
        </w:rPr>
        <w:t>账号：818330101421002703</w:t>
      </w:r>
    </w:p>
    <w:p>
      <w:pPr>
        <w:pStyle w:val="9"/>
        <w:widowControl w:val="0"/>
        <w:numPr>
          <w:numId w:val="0"/>
        </w:numPr>
        <w:spacing w:before="0" w:beforeAutospacing="0" w:after="0" w:afterAutospacing="0" w:line="440" w:lineRule="exact"/>
        <w:jc w:val="both"/>
        <w:rPr>
          <w:rFonts w:hint="eastAsia" w:eastAsia="宋体" w:cs="宋体"/>
          <w:kern w:val="2"/>
          <w:sz w:val="24"/>
          <w:szCs w:val="24"/>
          <w:highlight w:val="none"/>
          <w:lang w:val="en-US" w:eastAsia="zh-CN" w:bidi="ar-SA"/>
        </w:rPr>
      </w:pPr>
      <w:r>
        <w:rPr>
          <w:rFonts w:hint="eastAsia" w:cs="宋体"/>
          <w:kern w:val="2"/>
          <w:sz w:val="24"/>
          <w:szCs w:val="24"/>
          <w:highlight w:val="none"/>
          <w:lang w:val="en-US" w:eastAsia="zh-CN" w:bidi="ar-SA"/>
        </w:rPr>
        <w:t xml:space="preserve">       </w:t>
      </w:r>
      <w:r>
        <w:rPr>
          <w:rFonts w:hint="eastAsia" w:eastAsia="宋体" w:cs="宋体"/>
          <w:kern w:val="2"/>
          <w:sz w:val="24"/>
          <w:szCs w:val="24"/>
          <w:highlight w:val="none"/>
          <w:lang w:val="en-US" w:eastAsia="zh-CN" w:bidi="ar-SA"/>
        </w:rPr>
        <w:t>大额支付行号：313473070219</w:t>
      </w:r>
    </w:p>
    <w:p>
      <w:pPr>
        <w:pStyle w:val="9"/>
        <w:widowControl w:val="0"/>
        <w:numPr>
          <w:numId w:val="0"/>
        </w:numPr>
        <w:spacing w:before="0" w:beforeAutospacing="0" w:after="0" w:afterAutospacing="0" w:line="440" w:lineRule="exact"/>
        <w:jc w:val="both"/>
        <w:rPr>
          <w:rFonts w:hint="eastAsia" w:eastAsia="宋体" w:cs="宋体"/>
          <w:kern w:val="2"/>
          <w:sz w:val="24"/>
          <w:szCs w:val="24"/>
          <w:highlight w:val="none"/>
          <w:lang w:val="en-US" w:eastAsia="zh-CN" w:bidi="ar-SA"/>
        </w:rPr>
      </w:pPr>
      <w:r>
        <w:rPr>
          <w:rFonts w:hint="eastAsia" w:cs="宋体"/>
          <w:kern w:val="2"/>
          <w:sz w:val="24"/>
          <w:szCs w:val="24"/>
          <w:highlight w:val="none"/>
          <w:lang w:val="en-US" w:eastAsia="zh-CN" w:bidi="ar-SA"/>
        </w:rPr>
        <w:t xml:space="preserve">       </w:t>
      </w:r>
      <w:r>
        <w:rPr>
          <w:rFonts w:hint="eastAsia" w:eastAsia="宋体" w:cs="宋体"/>
          <w:kern w:val="2"/>
          <w:sz w:val="24"/>
          <w:szCs w:val="24"/>
          <w:highlight w:val="none"/>
          <w:lang w:val="en-US" w:eastAsia="zh-CN" w:bidi="ar-SA"/>
        </w:rPr>
        <w:t>收据换取地点：临沂市政务服务中心五楼资金结算处，联系电话：0539-8770092。</w:t>
      </w:r>
    </w:p>
    <w:p>
      <w:pPr>
        <w:pStyle w:val="9"/>
        <w:widowControl w:val="0"/>
        <w:numPr>
          <w:numId w:val="0"/>
        </w:numPr>
        <w:spacing w:before="0" w:beforeAutospacing="0" w:after="0" w:afterAutospacing="0" w:line="440" w:lineRule="exact"/>
        <w:jc w:val="both"/>
        <w:rPr>
          <w:rFonts w:hint="eastAsia" w:eastAsia="宋体" w:cs="宋体"/>
          <w:kern w:val="2"/>
          <w:sz w:val="24"/>
          <w:szCs w:val="24"/>
          <w:highlight w:val="none"/>
          <w:lang w:val="en-US" w:eastAsia="zh-CN" w:bidi="ar-SA"/>
        </w:rPr>
      </w:pPr>
      <w:r>
        <w:rPr>
          <w:rFonts w:hint="eastAsia" w:eastAsia="宋体" w:cs="宋体"/>
          <w:kern w:val="2"/>
          <w:sz w:val="24"/>
          <w:szCs w:val="24"/>
          <w:highlight w:val="none"/>
          <w:lang w:val="en-US" w:eastAsia="zh-CN" w:bidi="ar-SA"/>
        </w:rPr>
        <w:t>若证实投标人存在下列行为之一，将没收其投标保证金，因此造成</w:t>
      </w:r>
      <w:r>
        <w:rPr>
          <w:rFonts w:hint="eastAsia" w:cs="宋体"/>
          <w:kern w:val="2"/>
          <w:sz w:val="24"/>
          <w:szCs w:val="24"/>
          <w:highlight w:val="none"/>
          <w:lang w:val="en-US" w:eastAsia="zh-CN" w:bidi="ar-SA"/>
        </w:rPr>
        <w:t>采购人</w:t>
      </w:r>
      <w:r>
        <w:rPr>
          <w:rFonts w:hint="eastAsia" w:eastAsia="宋体" w:cs="宋体"/>
          <w:kern w:val="2"/>
          <w:sz w:val="24"/>
          <w:szCs w:val="24"/>
          <w:highlight w:val="none"/>
          <w:lang w:val="en-US" w:eastAsia="zh-CN" w:bidi="ar-SA"/>
        </w:rPr>
        <w:t>、</w:t>
      </w:r>
      <w:r>
        <w:rPr>
          <w:rFonts w:hint="eastAsia" w:cs="宋体"/>
          <w:kern w:val="2"/>
          <w:sz w:val="24"/>
          <w:szCs w:val="24"/>
          <w:highlight w:val="none"/>
          <w:lang w:val="en-US" w:eastAsia="zh-CN" w:bidi="ar-SA"/>
        </w:rPr>
        <w:t>采购代理机构</w:t>
      </w:r>
      <w:r>
        <w:rPr>
          <w:rFonts w:hint="eastAsia" w:eastAsia="宋体" w:cs="宋体"/>
          <w:kern w:val="2"/>
          <w:sz w:val="24"/>
          <w:szCs w:val="24"/>
          <w:highlight w:val="none"/>
          <w:lang w:val="en-US" w:eastAsia="zh-CN" w:bidi="ar-SA"/>
        </w:rPr>
        <w:t>的损失须由投标人承担；</w:t>
      </w:r>
    </w:p>
    <w:p>
      <w:pPr>
        <w:pStyle w:val="9"/>
        <w:widowControl w:val="0"/>
        <w:numPr>
          <w:numId w:val="0"/>
        </w:numPr>
        <w:spacing w:before="0" w:beforeAutospacing="0" w:after="0" w:afterAutospacing="0" w:line="440" w:lineRule="exact"/>
        <w:ind w:firstLine="480"/>
        <w:jc w:val="both"/>
        <w:rPr>
          <w:rFonts w:hint="eastAsia" w:eastAsia="宋体" w:cs="宋体"/>
          <w:kern w:val="2"/>
          <w:sz w:val="24"/>
          <w:szCs w:val="24"/>
          <w:highlight w:val="none"/>
          <w:lang w:val="en-US" w:eastAsia="zh-CN" w:bidi="ar-SA"/>
        </w:rPr>
      </w:pPr>
      <w:r>
        <w:rPr>
          <w:rFonts w:hint="eastAsia" w:eastAsia="宋体" w:cs="宋体"/>
          <w:kern w:val="2"/>
          <w:sz w:val="24"/>
          <w:szCs w:val="24"/>
          <w:highlight w:val="none"/>
          <w:lang w:val="en-US" w:eastAsia="zh-CN" w:bidi="ar-SA"/>
        </w:rPr>
        <w:t>a）投标人弄虚作假或与其他投标人串通骗取中标；</w:t>
      </w:r>
    </w:p>
    <w:p>
      <w:pPr>
        <w:pStyle w:val="9"/>
        <w:widowControl w:val="0"/>
        <w:numPr>
          <w:numId w:val="0"/>
        </w:numPr>
        <w:spacing w:before="0" w:beforeAutospacing="0" w:after="0" w:afterAutospacing="0" w:line="440" w:lineRule="exact"/>
        <w:ind w:firstLine="480"/>
        <w:jc w:val="both"/>
        <w:rPr>
          <w:rFonts w:hint="eastAsia" w:eastAsia="宋体" w:cs="宋体"/>
          <w:kern w:val="2"/>
          <w:sz w:val="24"/>
          <w:szCs w:val="24"/>
          <w:highlight w:val="none"/>
          <w:lang w:val="en-US" w:eastAsia="zh-CN" w:bidi="ar-SA"/>
        </w:rPr>
      </w:pPr>
      <w:r>
        <w:rPr>
          <w:rFonts w:hint="eastAsia" w:eastAsia="宋体" w:cs="宋体"/>
          <w:kern w:val="2"/>
          <w:sz w:val="24"/>
          <w:szCs w:val="24"/>
          <w:highlight w:val="none"/>
          <w:lang w:val="en-US" w:eastAsia="zh-CN" w:bidi="ar-SA"/>
        </w:rPr>
        <w:t>b)投标截止时间之后至投标有效期终止期间撤回其投标文件；</w:t>
      </w:r>
    </w:p>
    <w:p>
      <w:pPr>
        <w:pStyle w:val="9"/>
        <w:widowControl w:val="0"/>
        <w:numPr>
          <w:numId w:val="0"/>
        </w:numPr>
        <w:spacing w:before="0" w:beforeAutospacing="0" w:after="0" w:afterAutospacing="0" w:line="440" w:lineRule="exact"/>
        <w:ind w:firstLine="480"/>
        <w:jc w:val="both"/>
        <w:rPr>
          <w:rFonts w:hint="eastAsia" w:eastAsia="宋体" w:cs="宋体"/>
          <w:kern w:val="2"/>
          <w:sz w:val="24"/>
          <w:szCs w:val="24"/>
          <w:highlight w:val="none"/>
          <w:lang w:val="en-US" w:eastAsia="zh-CN" w:bidi="ar-SA"/>
        </w:rPr>
      </w:pPr>
      <w:r>
        <w:rPr>
          <w:rFonts w:hint="eastAsia" w:eastAsia="宋体" w:cs="宋体"/>
          <w:kern w:val="2"/>
          <w:sz w:val="24"/>
          <w:szCs w:val="24"/>
          <w:highlight w:val="none"/>
          <w:lang w:val="en-US" w:eastAsia="zh-CN" w:bidi="ar-SA"/>
        </w:rPr>
        <w:t>C)投标人未能在规定期限内提交履约保证金或签订合同协议；</w:t>
      </w:r>
    </w:p>
    <w:p>
      <w:pPr>
        <w:pStyle w:val="9"/>
        <w:widowControl w:val="0"/>
        <w:numPr>
          <w:numId w:val="0"/>
        </w:numPr>
        <w:spacing w:before="0" w:beforeAutospacing="0" w:after="0" w:afterAutospacing="0" w:line="440" w:lineRule="exact"/>
        <w:ind w:firstLine="480"/>
        <w:jc w:val="both"/>
        <w:rPr>
          <w:rFonts w:hint="eastAsia" w:eastAsia="宋体" w:cs="宋体"/>
          <w:kern w:val="2"/>
          <w:sz w:val="24"/>
          <w:szCs w:val="24"/>
          <w:highlight w:val="none"/>
          <w:lang w:val="en-US" w:eastAsia="zh-CN" w:bidi="ar-SA"/>
        </w:rPr>
      </w:pPr>
      <w:r>
        <w:rPr>
          <w:rFonts w:hint="eastAsia" w:eastAsia="宋体" w:cs="宋体"/>
          <w:kern w:val="2"/>
          <w:sz w:val="24"/>
          <w:szCs w:val="24"/>
          <w:highlight w:val="none"/>
          <w:lang w:val="en-US" w:eastAsia="zh-CN" w:bidi="ar-SA"/>
        </w:rPr>
        <w:t>d)因</w:t>
      </w:r>
      <w:r>
        <w:rPr>
          <w:rFonts w:hint="eastAsia" w:cs="宋体"/>
          <w:kern w:val="2"/>
          <w:sz w:val="24"/>
          <w:szCs w:val="24"/>
          <w:highlight w:val="none"/>
          <w:lang w:val="en-US" w:eastAsia="zh-CN" w:bidi="ar-SA"/>
        </w:rPr>
        <w:t>成交人</w:t>
      </w:r>
      <w:r>
        <w:rPr>
          <w:rFonts w:hint="eastAsia" w:eastAsia="宋体" w:cs="宋体"/>
          <w:kern w:val="2"/>
          <w:sz w:val="24"/>
          <w:szCs w:val="24"/>
          <w:highlight w:val="none"/>
          <w:lang w:val="en-US" w:eastAsia="zh-CN" w:bidi="ar-SA"/>
        </w:rPr>
        <w:t>主观过错被废除授标；</w:t>
      </w:r>
    </w:p>
    <w:p>
      <w:pPr>
        <w:pStyle w:val="9"/>
        <w:widowControl w:val="0"/>
        <w:numPr>
          <w:numId w:val="0"/>
        </w:numPr>
        <w:spacing w:before="0" w:beforeAutospacing="0" w:after="0" w:afterAutospacing="0" w:line="440" w:lineRule="exact"/>
        <w:ind w:firstLine="480"/>
        <w:jc w:val="both"/>
        <w:rPr>
          <w:rFonts w:hint="eastAsia" w:eastAsia="宋体" w:cs="宋体"/>
          <w:kern w:val="2"/>
          <w:sz w:val="24"/>
          <w:szCs w:val="24"/>
          <w:highlight w:val="none"/>
          <w:lang w:val="en-US" w:eastAsia="zh-CN" w:bidi="ar-SA"/>
        </w:rPr>
      </w:pPr>
      <w:r>
        <w:rPr>
          <w:rFonts w:hint="eastAsia" w:eastAsia="宋体" w:cs="宋体"/>
          <w:kern w:val="2"/>
          <w:sz w:val="24"/>
          <w:szCs w:val="24"/>
          <w:highlight w:val="none"/>
          <w:lang w:val="en-US" w:eastAsia="zh-CN" w:bidi="ar-SA"/>
        </w:rPr>
        <w:t>e)法律法规规定其他损害</w:t>
      </w:r>
      <w:r>
        <w:rPr>
          <w:rFonts w:hint="eastAsia" w:cs="宋体"/>
          <w:kern w:val="2"/>
          <w:sz w:val="24"/>
          <w:szCs w:val="24"/>
          <w:highlight w:val="none"/>
          <w:lang w:val="en-US" w:eastAsia="zh-CN" w:bidi="ar-SA"/>
        </w:rPr>
        <w:t>采购人</w:t>
      </w:r>
      <w:r>
        <w:rPr>
          <w:rFonts w:hint="eastAsia" w:eastAsia="宋体" w:cs="宋体"/>
          <w:kern w:val="2"/>
          <w:sz w:val="24"/>
          <w:szCs w:val="24"/>
          <w:highlight w:val="none"/>
          <w:lang w:val="en-US" w:eastAsia="zh-CN" w:bidi="ar-SA"/>
        </w:rPr>
        <w:t>，</w:t>
      </w:r>
      <w:r>
        <w:rPr>
          <w:rFonts w:hint="eastAsia" w:cs="宋体"/>
          <w:kern w:val="2"/>
          <w:sz w:val="24"/>
          <w:szCs w:val="24"/>
          <w:highlight w:val="none"/>
          <w:lang w:val="en-US" w:eastAsia="zh-CN" w:bidi="ar-SA"/>
        </w:rPr>
        <w:t>采购代理机构</w:t>
      </w:r>
      <w:r>
        <w:rPr>
          <w:rFonts w:hint="eastAsia" w:eastAsia="宋体" w:cs="宋体"/>
          <w:kern w:val="2"/>
          <w:sz w:val="24"/>
          <w:szCs w:val="24"/>
          <w:highlight w:val="none"/>
          <w:lang w:val="en-US" w:eastAsia="zh-CN" w:bidi="ar-SA"/>
        </w:rPr>
        <w:t>利益的情形。</w:t>
      </w:r>
    </w:p>
    <w:p>
      <w:pPr>
        <w:pStyle w:val="9"/>
        <w:widowControl w:val="0"/>
        <w:numPr>
          <w:ilvl w:val="0"/>
          <w:numId w:val="4"/>
        </w:numPr>
        <w:spacing w:before="0" w:beforeAutospacing="0" w:after="0" w:afterAutospacing="0" w:line="440" w:lineRule="exact"/>
        <w:jc w:val="both"/>
        <w:rPr>
          <w:rFonts w:hint="eastAsia" w:eastAsia="宋体" w:cs="宋体"/>
          <w:b/>
          <w:bCs/>
          <w:kern w:val="2"/>
          <w:sz w:val="24"/>
          <w:szCs w:val="24"/>
          <w:highlight w:val="none"/>
          <w:lang w:val="en-US" w:eastAsia="zh-CN" w:bidi="ar-SA"/>
        </w:rPr>
      </w:pPr>
      <w:r>
        <w:rPr>
          <w:rFonts w:hint="eastAsia" w:eastAsia="宋体" w:cs="宋体"/>
          <w:b/>
          <w:bCs/>
          <w:kern w:val="2"/>
          <w:sz w:val="24"/>
          <w:szCs w:val="24"/>
          <w:highlight w:val="none"/>
          <w:lang w:val="en-US" w:eastAsia="zh-CN" w:bidi="ar-SA"/>
        </w:rPr>
        <w:t>基础资料提供</w:t>
      </w:r>
    </w:p>
    <w:p>
      <w:pPr>
        <w:pStyle w:val="9"/>
        <w:widowControl w:val="0"/>
        <w:numPr>
          <w:ilvl w:val="0"/>
          <w:numId w:val="5"/>
        </w:numPr>
        <w:spacing w:before="0" w:beforeAutospacing="0" w:after="0" w:afterAutospacing="0" w:line="440" w:lineRule="exact"/>
        <w:jc w:val="both"/>
        <w:rPr>
          <w:rFonts w:hint="eastAsia" w:eastAsia="宋体" w:cs="宋体"/>
          <w:b w:val="0"/>
          <w:bCs w:val="0"/>
          <w:color w:val="auto"/>
          <w:kern w:val="2"/>
          <w:sz w:val="24"/>
          <w:szCs w:val="24"/>
          <w:highlight w:val="none"/>
          <w:lang w:val="en-US" w:eastAsia="zh-CN" w:bidi="ar-SA"/>
        </w:rPr>
      </w:pPr>
      <w:r>
        <w:rPr>
          <w:rFonts w:hint="eastAsia" w:eastAsia="宋体" w:cs="宋体"/>
          <w:b w:val="0"/>
          <w:bCs w:val="0"/>
          <w:kern w:val="2"/>
          <w:sz w:val="24"/>
          <w:szCs w:val="24"/>
          <w:highlight w:val="none"/>
          <w:lang w:val="en-US" w:eastAsia="zh-CN" w:bidi="ar-SA"/>
        </w:rPr>
        <w:t>投标人确认</w:t>
      </w:r>
      <w:r>
        <w:rPr>
          <w:rFonts w:hint="eastAsia" w:cs="宋体"/>
          <w:b w:val="0"/>
          <w:bCs w:val="0"/>
          <w:kern w:val="2"/>
          <w:sz w:val="24"/>
          <w:szCs w:val="24"/>
          <w:highlight w:val="none"/>
          <w:lang w:val="en-US" w:eastAsia="zh-CN" w:bidi="ar-SA"/>
        </w:rPr>
        <w:t>采购代理机构</w:t>
      </w:r>
      <w:r>
        <w:rPr>
          <w:rFonts w:hint="eastAsia" w:eastAsia="宋体" w:cs="宋体"/>
          <w:b w:val="0"/>
          <w:bCs w:val="0"/>
          <w:kern w:val="2"/>
          <w:sz w:val="24"/>
          <w:szCs w:val="24"/>
          <w:highlight w:val="none"/>
          <w:lang w:val="en-US" w:eastAsia="zh-CN" w:bidi="ar-SA"/>
        </w:rPr>
        <w:t>提供的基础资料存在的缺项漏项或计算误差，应于</w:t>
      </w:r>
      <w:r>
        <w:rPr>
          <w:rFonts w:hint="eastAsia" w:eastAsia="宋体" w:cs="宋体"/>
          <w:b w:val="0"/>
          <w:bCs w:val="0"/>
          <w:color w:val="auto"/>
          <w:kern w:val="2"/>
          <w:sz w:val="24"/>
          <w:szCs w:val="24"/>
          <w:highlight w:val="none"/>
          <w:lang w:val="en-US" w:eastAsia="zh-CN" w:bidi="ar-SA"/>
        </w:rPr>
        <w:t>201</w:t>
      </w:r>
      <w:r>
        <w:rPr>
          <w:rFonts w:hint="eastAsia" w:cs="宋体"/>
          <w:b w:val="0"/>
          <w:bCs w:val="0"/>
          <w:color w:val="auto"/>
          <w:kern w:val="2"/>
          <w:sz w:val="24"/>
          <w:szCs w:val="24"/>
          <w:highlight w:val="none"/>
          <w:lang w:val="en-US" w:eastAsia="zh-CN" w:bidi="ar-SA"/>
        </w:rPr>
        <w:t>7</w:t>
      </w:r>
      <w:r>
        <w:rPr>
          <w:rFonts w:hint="eastAsia" w:eastAsia="宋体" w:cs="宋体"/>
          <w:b w:val="0"/>
          <w:bCs w:val="0"/>
          <w:color w:val="auto"/>
          <w:kern w:val="2"/>
          <w:sz w:val="24"/>
          <w:szCs w:val="24"/>
          <w:highlight w:val="none"/>
          <w:lang w:val="en-US" w:eastAsia="zh-CN" w:bidi="ar-SA"/>
        </w:rPr>
        <w:t>年</w:t>
      </w:r>
      <w:r>
        <w:rPr>
          <w:rFonts w:hint="eastAsia" w:cs="宋体"/>
          <w:b w:val="0"/>
          <w:bCs w:val="0"/>
          <w:color w:val="auto"/>
          <w:kern w:val="2"/>
          <w:sz w:val="24"/>
          <w:szCs w:val="24"/>
          <w:highlight w:val="none"/>
          <w:lang w:val="en-US" w:eastAsia="zh-CN" w:bidi="ar-SA"/>
        </w:rPr>
        <w:t>10</w:t>
      </w:r>
      <w:r>
        <w:rPr>
          <w:rFonts w:hint="eastAsia" w:eastAsia="宋体" w:cs="宋体"/>
          <w:b w:val="0"/>
          <w:bCs w:val="0"/>
          <w:color w:val="auto"/>
          <w:kern w:val="2"/>
          <w:sz w:val="24"/>
          <w:szCs w:val="24"/>
          <w:highlight w:val="none"/>
          <w:lang w:val="en-US" w:eastAsia="zh-CN" w:bidi="ar-SA"/>
        </w:rPr>
        <w:t>月</w:t>
      </w:r>
      <w:r>
        <w:rPr>
          <w:rFonts w:hint="eastAsia" w:cs="宋体"/>
          <w:b w:val="0"/>
          <w:bCs w:val="0"/>
          <w:color w:val="auto"/>
          <w:kern w:val="2"/>
          <w:sz w:val="24"/>
          <w:szCs w:val="24"/>
          <w:highlight w:val="none"/>
          <w:lang w:val="en-US" w:eastAsia="zh-CN" w:bidi="ar-SA"/>
        </w:rPr>
        <w:t>13</w:t>
      </w:r>
      <w:r>
        <w:rPr>
          <w:rFonts w:hint="eastAsia" w:eastAsia="宋体" w:cs="宋体"/>
          <w:b w:val="0"/>
          <w:bCs w:val="0"/>
          <w:color w:val="auto"/>
          <w:kern w:val="2"/>
          <w:sz w:val="24"/>
          <w:szCs w:val="24"/>
          <w:highlight w:val="none"/>
          <w:lang w:val="en-US" w:eastAsia="zh-CN" w:bidi="ar-SA"/>
        </w:rPr>
        <w:t>日</w:t>
      </w:r>
      <w:r>
        <w:rPr>
          <w:rFonts w:hint="eastAsia" w:eastAsia="宋体" w:cs="宋体"/>
          <w:b w:val="0"/>
          <w:bCs w:val="0"/>
          <w:color w:val="auto"/>
          <w:kern w:val="2"/>
          <w:sz w:val="24"/>
          <w:szCs w:val="24"/>
          <w:highlight w:val="none"/>
          <w:lang w:val="en-US" w:eastAsia="zh-CN" w:bidi="ar-SA"/>
        </w:rPr>
        <w:t>前，以书面形式向</w:t>
      </w:r>
      <w:r>
        <w:rPr>
          <w:rFonts w:hint="eastAsia" w:cs="宋体"/>
          <w:b w:val="0"/>
          <w:bCs w:val="0"/>
          <w:color w:val="auto"/>
          <w:kern w:val="2"/>
          <w:sz w:val="24"/>
          <w:szCs w:val="24"/>
          <w:highlight w:val="none"/>
          <w:lang w:val="en-US" w:eastAsia="zh-CN" w:bidi="ar-SA"/>
        </w:rPr>
        <w:t>采购代理机构</w:t>
      </w:r>
      <w:r>
        <w:rPr>
          <w:rFonts w:hint="eastAsia" w:eastAsia="宋体" w:cs="宋体"/>
          <w:b w:val="0"/>
          <w:bCs w:val="0"/>
          <w:color w:val="auto"/>
          <w:kern w:val="2"/>
          <w:sz w:val="24"/>
          <w:szCs w:val="24"/>
          <w:highlight w:val="none"/>
          <w:lang w:val="en-US" w:eastAsia="zh-CN" w:bidi="ar-SA"/>
        </w:rPr>
        <w:t>提出。投标人未在规定的时间内对</w:t>
      </w:r>
      <w:r>
        <w:rPr>
          <w:rFonts w:hint="eastAsia" w:cs="宋体"/>
          <w:b w:val="0"/>
          <w:bCs w:val="0"/>
          <w:color w:val="auto"/>
          <w:kern w:val="2"/>
          <w:sz w:val="24"/>
          <w:szCs w:val="24"/>
          <w:highlight w:val="none"/>
          <w:lang w:val="en-US" w:eastAsia="zh-CN" w:bidi="ar-SA"/>
        </w:rPr>
        <w:t>采购代理机构</w:t>
      </w:r>
      <w:r>
        <w:rPr>
          <w:rFonts w:hint="eastAsia" w:eastAsia="宋体" w:cs="宋体"/>
          <w:b w:val="0"/>
          <w:bCs w:val="0"/>
          <w:color w:val="auto"/>
          <w:kern w:val="2"/>
          <w:sz w:val="24"/>
          <w:szCs w:val="24"/>
          <w:highlight w:val="none"/>
          <w:lang w:val="en-US" w:eastAsia="zh-CN" w:bidi="ar-SA"/>
        </w:rPr>
        <w:t>提供的基础资料提出异议，视为投标人已认可</w:t>
      </w:r>
      <w:r>
        <w:rPr>
          <w:rFonts w:hint="eastAsia" w:cs="宋体"/>
          <w:b w:val="0"/>
          <w:bCs w:val="0"/>
          <w:color w:val="auto"/>
          <w:kern w:val="2"/>
          <w:sz w:val="24"/>
          <w:szCs w:val="24"/>
          <w:highlight w:val="none"/>
          <w:lang w:val="en-US" w:eastAsia="zh-CN" w:bidi="ar-SA"/>
        </w:rPr>
        <w:t>采购代理机构</w:t>
      </w:r>
      <w:r>
        <w:rPr>
          <w:rFonts w:hint="eastAsia" w:eastAsia="宋体" w:cs="宋体"/>
          <w:b w:val="0"/>
          <w:bCs w:val="0"/>
          <w:color w:val="auto"/>
          <w:kern w:val="2"/>
          <w:sz w:val="24"/>
          <w:szCs w:val="24"/>
          <w:highlight w:val="none"/>
          <w:lang w:val="en-US" w:eastAsia="zh-CN" w:bidi="ar-SA"/>
        </w:rPr>
        <w:t>提供的资料包含了本项目所需的基础资料全部内容。</w:t>
      </w:r>
    </w:p>
    <w:p>
      <w:pPr>
        <w:pStyle w:val="9"/>
        <w:widowControl w:val="0"/>
        <w:numPr>
          <w:ilvl w:val="0"/>
          <w:numId w:val="5"/>
        </w:numPr>
        <w:spacing w:before="0" w:beforeAutospacing="0" w:after="0" w:afterAutospacing="0" w:line="440" w:lineRule="exact"/>
        <w:jc w:val="both"/>
        <w:rPr>
          <w:rFonts w:hint="eastAsia" w:eastAsia="宋体" w:cs="宋体"/>
          <w:b w:val="0"/>
          <w:bCs w:val="0"/>
          <w:color w:val="auto"/>
          <w:kern w:val="2"/>
          <w:sz w:val="24"/>
          <w:szCs w:val="24"/>
          <w:highlight w:val="none"/>
          <w:lang w:val="en-US" w:eastAsia="zh-CN" w:bidi="ar-SA"/>
        </w:rPr>
      </w:pPr>
      <w:r>
        <w:rPr>
          <w:rFonts w:hint="eastAsia" w:eastAsia="宋体" w:cs="宋体"/>
          <w:b w:val="0"/>
          <w:bCs w:val="0"/>
          <w:color w:val="auto"/>
          <w:kern w:val="2"/>
          <w:sz w:val="24"/>
          <w:szCs w:val="24"/>
          <w:highlight w:val="none"/>
          <w:lang w:val="en-US" w:eastAsia="zh-CN" w:bidi="ar-SA"/>
        </w:rPr>
        <w:t>如潜在投标人认为</w:t>
      </w:r>
      <w:r>
        <w:rPr>
          <w:rFonts w:hint="eastAsia" w:cs="宋体"/>
          <w:b w:val="0"/>
          <w:bCs w:val="0"/>
          <w:color w:val="auto"/>
          <w:kern w:val="2"/>
          <w:sz w:val="24"/>
          <w:szCs w:val="24"/>
          <w:highlight w:val="none"/>
          <w:lang w:val="en-US" w:eastAsia="zh-CN" w:bidi="ar-SA"/>
        </w:rPr>
        <w:t>采购文件</w:t>
      </w:r>
      <w:r>
        <w:rPr>
          <w:rFonts w:hint="eastAsia" w:eastAsia="宋体" w:cs="宋体"/>
          <w:b w:val="0"/>
          <w:bCs w:val="0"/>
          <w:color w:val="auto"/>
          <w:kern w:val="2"/>
          <w:sz w:val="24"/>
          <w:szCs w:val="24"/>
          <w:highlight w:val="none"/>
          <w:lang w:val="en-US" w:eastAsia="zh-CN" w:bidi="ar-SA"/>
        </w:rPr>
        <w:t>存在倾向性，排斥性等条款的，请在收到</w:t>
      </w:r>
      <w:r>
        <w:rPr>
          <w:rFonts w:hint="eastAsia" w:cs="宋体"/>
          <w:b w:val="0"/>
          <w:bCs w:val="0"/>
          <w:color w:val="auto"/>
          <w:kern w:val="2"/>
          <w:sz w:val="24"/>
          <w:szCs w:val="24"/>
          <w:highlight w:val="none"/>
          <w:lang w:val="en-US" w:eastAsia="zh-CN" w:bidi="ar-SA"/>
        </w:rPr>
        <w:t>采购文件</w:t>
      </w:r>
      <w:r>
        <w:rPr>
          <w:rFonts w:hint="eastAsia" w:eastAsia="宋体" w:cs="宋体"/>
          <w:b w:val="0"/>
          <w:bCs w:val="0"/>
          <w:color w:val="auto"/>
          <w:kern w:val="2"/>
          <w:sz w:val="24"/>
          <w:szCs w:val="24"/>
          <w:highlight w:val="none"/>
          <w:lang w:val="en-US" w:eastAsia="zh-CN" w:bidi="ar-SA"/>
        </w:rPr>
        <w:t>之日起七日内以书面形式向招标采购单位提出，招标采购单位及时给予回复。</w:t>
      </w:r>
      <w:r>
        <w:rPr>
          <w:rFonts w:hint="eastAsia" w:cs="宋体"/>
          <w:b w:val="0"/>
          <w:bCs w:val="0"/>
          <w:color w:val="auto"/>
          <w:kern w:val="2"/>
          <w:sz w:val="24"/>
          <w:szCs w:val="24"/>
          <w:highlight w:val="none"/>
          <w:lang w:val="en-US" w:eastAsia="zh-CN" w:bidi="ar-SA"/>
        </w:rPr>
        <w:t>采购文件</w:t>
      </w:r>
      <w:r>
        <w:rPr>
          <w:rFonts w:hint="eastAsia" w:eastAsia="宋体" w:cs="宋体"/>
          <w:b w:val="0"/>
          <w:bCs w:val="0"/>
          <w:color w:val="auto"/>
          <w:kern w:val="2"/>
          <w:sz w:val="24"/>
          <w:szCs w:val="24"/>
          <w:highlight w:val="none"/>
          <w:lang w:val="en-US" w:eastAsia="zh-CN" w:bidi="ar-SA"/>
        </w:rPr>
        <w:t>如有实质性变动的，招标采购单位可视具体情况延长投标截止时间和开标时间，</w:t>
      </w:r>
      <w:r>
        <w:rPr>
          <w:rFonts w:hint="eastAsia" w:eastAsia="宋体" w:cs="宋体"/>
          <w:b w:val="0"/>
          <w:bCs w:val="0"/>
          <w:color w:val="auto"/>
          <w:kern w:val="2"/>
          <w:sz w:val="24"/>
          <w:szCs w:val="24"/>
          <w:highlight w:val="none"/>
          <w:lang w:val="en-US" w:eastAsia="zh-CN" w:bidi="ar-SA"/>
        </w:rPr>
        <w:t>并在规定的开标截止时间3日前，</w:t>
      </w:r>
      <w:r>
        <w:rPr>
          <w:rFonts w:hint="eastAsia" w:eastAsia="宋体" w:cs="宋体"/>
          <w:b w:val="0"/>
          <w:bCs w:val="0"/>
          <w:color w:val="auto"/>
          <w:kern w:val="2"/>
          <w:sz w:val="24"/>
          <w:szCs w:val="24"/>
          <w:highlight w:val="none"/>
          <w:lang w:val="en-US" w:eastAsia="zh-CN" w:bidi="ar-SA"/>
        </w:rPr>
        <w:t>将变更时间书面通知所有</w:t>
      </w:r>
      <w:r>
        <w:rPr>
          <w:rFonts w:hint="eastAsia" w:cs="宋体"/>
          <w:b w:val="0"/>
          <w:bCs w:val="0"/>
          <w:color w:val="auto"/>
          <w:kern w:val="2"/>
          <w:sz w:val="24"/>
          <w:szCs w:val="24"/>
          <w:highlight w:val="none"/>
          <w:lang w:val="en-US" w:eastAsia="zh-CN" w:bidi="ar-SA"/>
        </w:rPr>
        <w:t>采购文件</w:t>
      </w:r>
      <w:r>
        <w:rPr>
          <w:rFonts w:hint="eastAsia" w:eastAsia="宋体" w:cs="宋体"/>
          <w:b w:val="0"/>
          <w:bCs w:val="0"/>
          <w:color w:val="auto"/>
          <w:kern w:val="2"/>
          <w:sz w:val="24"/>
          <w:szCs w:val="24"/>
          <w:highlight w:val="none"/>
          <w:lang w:val="en-US" w:eastAsia="zh-CN" w:bidi="ar-SA"/>
        </w:rPr>
        <w:t>的收受人。未在要求的时间内提出，则视为投标文件不存在影响竞争的不当条款。</w:t>
      </w:r>
    </w:p>
    <w:p>
      <w:pPr>
        <w:numPr>
          <w:numId w:val="0"/>
        </w:num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二 采购文件</w:t>
      </w:r>
    </w:p>
    <w:p>
      <w:pPr>
        <w:pStyle w:val="9"/>
        <w:widowControl w:val="0"/>
        <w:numPr>
          <w:ilvl w:val="0"/>
          <w:numId w:val="6"/>
        </w:numPr>
        <w:spacing w:before="0" w:beforeAutospacing="0" w:after="0" w:afterAutospacing="0" w:line="440" w:lineRule="exact"/>
        <w:jc w:val="both"/>
        <w:rPr>
          <w:rFonts w:hint="eastAsia" w:eastAsia="宋体" w:cs="宋体"/>
          <w:b/>
          <w:bCs/>
          <w:kern w:val="2"/>
          <w:sz w:val="24"/>
          <w:szCs w:val="24"/>
          <w:highlight w:val="none"/>
          <w:lang w:val="en-US" w:eastAsia="zh-CN" w:bidi="ar-SA"/>
        </w:rPr>
      </w:pPr>
      <w:r>
        <w:rPr>
          <w:rFonts w:hint="eastAsia" w:cs="宋体"/>
          <w:b/>
          <w:bCs/>
          <w:kern w:val="2"/>
          <w:sz w:val="24"/>
          <w:szCs w:val="24"/>
          <w:highlight w:val="none"/>
          <w:lang w:val="en-US" w:eastAsia="zh-CN" w:bidi="ar-SA"/>
        </w:rPr>
        <w:t>采购</w:t>
      </w:r>
      <w:r>
        <w:rPr>
          <w:rFonts w:hint="eastAsia" w:eastAsia="宋体" w:cs="宋体"/>
          <w:b/>
          <w:bCs/>
          <w:kern w:val="2"/>
          <w:sz w:val="24"/>
          <w:szCs w:val="24"/>
          <w:highlight w:val="none"/>
          <w:lang w:val="en-US" w:eastAsia="zh-CN" w:bidi="ar-SA"/>
        </w:rPr>
        <w:t>文件的组成</w:t>
      </w:r>
    </w:p>
    <w:p>
      <w:pPr>
        <w:pStyle w:val="9"/>
        <w:widowControl w:val="0"/>
        <w:numPr>
          <w:ilvl w:val="0"/>
          <w:numId w:val="7"/>
        </w:numPr>
        <w:spacing w:before="0" w:beforeAutospacing="0" w:after="0" w:afterAutospacing="0" w:line="440" w:lineRule="exact"/>
        <w:jc w:val="both"/>
        <w:rPr>
          <w:rFonts w:hint="eastAsia" w:eastAsia="宋体" w:cs="宋体"/>
          <w:b w:val="0"/>
          <w:bCs w:val="0"/>
          <w:kern w:val="2"/>
          <w:sz w:val="24"/>
          <w:szCs w:val="24"/>
          <w:highlight w:val="none"/>
          <w:lang w:val="en-US" w:eastAsia="zh-CN" w:bidi="ar-SA"/>
        </w:rPr>
      </w:pPr>
      <w:r>
        <w:rPr>
          <w:rFonts w:hint="eastAsia" w:eastAsia="宋体" w:cs="宋体"/>
          <w:b w:val="0"/>
          <w:bCs w:val="0"/>
          <w:kern w:val="2"/>
          <w:sz w:val="24"/>
          <w:szCs w:val="24"/>
          <w:highlight w:val="none"/>
          <w:lang w:val="en-US" w:eastAsia="zh-CN" w:bidi="ar-SA"/>
        </w:rPr>
        <w:t>投标人应仔细检查</w:t>
      </w:r>
      <w:r>
        <w:rPr>
          <w:rFonts w:hint="eastAsia" w:cs="宋体"/>
          <w:b w:val="0"/>
          <w:bCs w:val="0"/>
          <w:kern w:val="2"/>
          <w:sz w:val="24"/>
          <w:szCs w:val="24"/>
          <w:highlight w:val="none"/>
          <w:lang w:val="en-US" w:eastAsia="zh-CN" w:bidi="ar-SA"/>
        </w:rPr>
        <w:t>采购</w:t>
      </w:r>
      <w:r>
        <w:rPr>
          <w:rFonts w:hint="eastAsia" w:eastAsia="宋体" w:cs="宋体"/>
          <w:b w:val="0"/>
          <w:bCs w:val="0"/>
          <w:kern w:val="2"/>
          <w:sz w:val="24"/>
          <w:szCs w:val="24"/>
          <w:highlight w:val="none"/>
          <w:lang w:val="en-US" w:eastAsia="zh-CN" w:bidi="ar-SA"/>
        </w:rPr>
        <w:t>文件是否齐全，如有缺漏，请立即与</w:t>
      </w:r>
      <w:r>
        <w:rPr>
          <w:rFonts w:hint="eastAsia" w:cs="宋体"/>
          <w:b w:val="0"/>
          <w:bCs w:val="0"/>
          <w:kern w:val="2"/>
          <w:sz w:val="24"/>
          <w:szCs w:val="24"/>
          <w:highlight w:val="none"/>
          <w:lang w:val="en-US" w:eastAsia="zh-CN" w:bidi="ar-SA"/>
        </w:rPr>
        <w:t>采购代理机构</w:t>
      </w:r>
      <w:r>
        <w:rPr>
          <w:rFonts w:hint="eastAsia" w:eastAsia="宋体" w:cs="宋体"/>
          <w:b w:val="0"/>
          <w:bCs w:val="0"/>
          <w:kern w:val="2"/>
          <w:sz w:val="24"/>
          <w:szCs w:val="24"/>
          <w:highlight w:val="none"/>
          <w:lang w:val="en-US" w:eastAsia="zh-CN" w:bidi="ar-SA"/>
        </w:rPr>
        <w:t>联系解决。</w:t>
      </w:r>
      <w:r>
        <w:rPr>
          <w:rFonts w:hint="eastAsia" w:cs="宋体"/>
          <w:b w:val="0"/>
          <w:bCs w:val="0"/>
          <w:kern w:val="2"/>
          <w:sz w:val="24"/>
          <w:szCs w:val="24"/>
          <w:highlight w:val="none"/>
          <w:lang w:val="en-US" w:eastAsia="zh-CN" w:bidi="ar-SA"/>
        </w:rPr>
        <w:t>采购文件</w:t>
      </w:r>
      <w:r>
        <w:rPr>
          <w:rFonts w:hint="eastAsia" w:eastAsia="宋体" w:cs="宋体"/>
          <w:b w:val="0"/>
          <w:bCs w:val="0"/>
          <w:kern w:val="2"/>
          <w:sz w:val="24"/>
          <w:szCs w:val="24"/>
          <w:highlight w:val="none"/>
          <w:lang w:val="en-US" w:eastAsia="zh-CN" w:bidi="ar-SA"/>
        </w:rPr>
        <w:t>包括下列内容：</w:t>
      </w:r>
    </w:p>
    <w:p>
      <w:pPr>
        <w:pStyle w:val="9"/>
        <w:widowControl w:val="0"/>
        <w:numPr>
          <w:ilvl w:val="0"/>
          <w:numId w:val="8"/>
        </w:numPr>
        <w:spacing w:before="0" w:beforeAutospacing="0" w:after="0" w:afterAutospacing="0" w:line="440" w:lineRule="exact"/>
        <w:jc w:val="both"/>
        <w:rPr>
          <w:rFonts w:hint="eastAsia" w:eastAsia="宋体" w:cs="宋体"/>
          <w:b w:val="0"/>
          <w:bCs w:val="0"/>
          <w:kern w:val="2"/>
          <w:sz w:val="24"/>
          <w:szCs w:val="24"/>
          <w:highlight w:val="none"/>
          <w:lang w:val="en-US" w:eastAsia="zh-CN" w:bidi="ar-SA"/>
        </w:rPr>
      </w:pPr>
      <w:r>
        <w:rPr>
          <w:rFonts w:hint="eastAsia" w:cs="宋体"/>
          <w:b w:val="0"/>
          <w:bCs w:val="0"/>
          <w:kern w:val="2"/>
          <w:sz w:val="24"/>
          <w:szCs w:val="24"/>
          <w:highlight w:val="none"/>
          <w:lang w:val="en-US" w:eastAsia="zh-CN" w:bidi="ar-SA"/>
        </w:rPr>
        <w:t>招标公告</w:t>
      </w:r>
    </w:p>
    <w:p>
      <w:pPr>
        <w:pStyle w:val="9"/>
        <w:widowControl w:val="0"/>
        <w:numPr>
          <w:ilvl w:val="0"/>
          <w:numId w:val="8"/>
        </w:numPr>
        <w:spacing w:before="0" w:beforeAutospacing="0" w:after="0" w:afterAutospacing="0" w:line="440" w:lineRule="exact"/>
        <w:jc w:val="both"/>
        <w:rPr>
          <w:rFonts w:hint="eastAsia" w:eastAsia="宋体" w:cs="宋体"/>
          <w:b w:val="0"/>
          <w:bCs w:val="0"/>
          <w:kern w:val="2"/>
          <w:sz w:val="24"/>
          <w:szCs w:val="24"/>
          <w:highlight w:val="none"/>
          <w:lang w:val="en-US" w:eastAsia="zh-CN" w:bidi="ar-SA"/>
        </w:rPr>
      </w:pPr>
      <w:r>
        <w:rPr>
          <w:rFonts w:hint="eastAsia" w:eastAsia="宋体" w:cs="宋体"/>
          <w:b w:val="0"/>
          <w:bCs w:val="0"/>
          <w:kern w:val="2"/>
          <w:sz w:val="24"/>
          <w:szCs w:val="24"/>
          <w:highlight w:val="none"/>
          <w:lang w:val="en-US" w:eastAsia="zh-CN" w:bidi="ar-SA"/>
        </w:rPr>
        <w:t>投标人须知</w:t>
      </w:r>
    </w:p>
    <w:p>
      <w:pPr>
        <w:pStyle w:val="9"/>
        <w:widowControl w:val="0"/>
        <w:numPr>
          <w:ilvl w:val="0"/>
          <w:numId w:val="8"/>
        </w:numPr>
        <w:spacing w:before="0" w:beforeAutospacing="0" w:after="0" w:afterAutospacing="0" w:line="440" w:lineRule="exact"/>
        <w:jc w:val="both"/>
        <w:rPr>
          <w:rFonts w:hint="eastAsia" w:eastAsia="宋体" w:cs="宋体"/>
          <w:b w:val="0"/>
          <w:bCs w:val="0"/>
          <w:kern w:val="2"/>
          <w:sz w:val="24"/>
          <w:szCs w:val="24"/>
          <w:highlight w:val="none"/>
          <w:lang w:val="en-US" w:eastAsia="zh-CN" w:bidi="ar-SA"/>
        </w:rPr>
      </w:pPr>
      <w:r>
        <w:rPr>
          <w:rFonts w:hint="eastAsia" w:eastAsia="宋体" w:cs="宋体"/>
          <w:b w:val="0"/>
          <w:bCs w:val="0"/>
          <w:kern w:val="2"/>
          <w:sz w:val="24"/>
          <w:szCs w:val="24"/>
          <w:highlight w:val="none"/>
          <w:lang w:val="en-US" w:eastAsia="zh-CN" w:bidi="ar-SA"/>
        </w:rPr>
        <w:t>项目说明</w:t>
      </w:r>
      <w:r>
        <w:rPr>
          <w:rFonts w:hint="eastAsia" w:cs="宋体"/>
          <w:b w:val="0"/>
          <w:bCs w:val="0"/>
          <w:kern w:val="2"/>
          <w:sz w:val="24"/>
          <w:szCs w:val="24"/>
          <w:highlight w:val="none"/>
          <w:lang w:val="en-US" w:eastAsia="zh-CN" w:bidi="ar-SA"/>
        </w:rPr>
        <w:t>及</w:t>
      </w:r>
      <w:r>
        <w:rPr>
          <w:rFonts w:hint="eastAsia" w:eastAsia="宋体" w:cs="宋体"/>
          <w:b w:val="0"/>
          <w:bCs w:val="0"/>
          <w:kern w:val="2"/>
          <w:sz w:val="24"/>
          <w:szCs w:val="24"/>
          <w:highlight w:val="none"/>
          <w:lang w:val="en-US" w:eastAsia="zh-CN" w:bidi="ar-SA"/>
        </w:rPr>
        <w:t>要求</w:t>
      </w:r>
    </w:p>
    <w:p>
      <w:pPr>
        <w:pStyle w:val="9"/>
        <w:widowControl w:val="0"/>
        <w:numPr>
          <w:ilvl w:val="0"/>
          <w:numId w:val="8"/>
        </w:numPr>
        <w:spacing w:before="0" w:beforeAutospacing="0" w:after="0" w:afterAutospacing="0" w:line="440" w:lineRule="exact"/>
        <w:jc w:val="both"/>
        <w:rPr>
          <w:rFonts w:hint="eastAsia" w:eastAsia="宋体" w:cs="宋体"/>
          <w:b w:val="0"/>
          <w:bCs w:val="0"/>
          <w:kern w:val="2"/>
          <w:sz w:val="24"/>
          <w:szCs w:val="24"/>
          <w:highlight w:val="none"/>
          <w:lang w:val="en-US" w:eastAsia="zh-CN" w:bidi="ar-SA"/>
        </w:rPr>
      </w:pPr>
      <w:r>
        <w:rPr>
          <w:rFonts w:hint="eastAsia" w:eastAsia="宋体" w:cs="宋体"/>
          <w:b w:val="0"/>
          <w:bCs w:val="0"/>
          <w:kern w:val="2"/>
          <w:sz w:val="24"/>
          <w:szCs w:val="24"/>
          <w:highlight w:val="none"/>
          <w:lang w:val="en-US" w:eastAsia="zh-CN" w:bidi="ar-SA"/>
        </w:rPr>
        <w:t>采购合同参考样本</w:t>
      </w:r>
    </w:p>
    <w:p>
      <w:pPr>
        <w:pStyle w:val="9"/>
        <w:widowControl w:val="0"/>
        <w:numPr>
          <w:ilvl w:val="0"/>
          <w:numId w:val="8"/>
        </w:numPr>
        <w:spacing w:before="0" w:beforeAutospacing="0" w:after="0" w:afterAutospacing="0" w:line="440" w:lineRule="exact"/>
        <w:jc w:val="both"/>
        <w:rPr>
          <w:rFonts w:hint="eastAsia" w:eastAsia="宋体" w:cs="宋体"/>
          <w:b w:val="0"/>
          <w:bCs w:val="0"/>
          <w:kern w:val="2"/>
          <w:sz w:val="24"/>
          <w:szCs w:val="24"/>
          <w:highlight w:val="none"/>
          <w:lang w:val="en-US" w:eastAsia="zh-CN" w:bidi="ar-SA"/>
        </w:rPr>
      </w:pPr>
      <w:r>
        <w:rPr>
          <w:rFonts w:hint="eastAsia" w:eastAsia="宋体" w:cs="宋体"/>
          <w:b w:val="0"/>
          <w:bCs w:val="0"/>
          <w:kern w:val="2"/>
          <w:sz w:val="24"/>
          <w:szCs w:val="24"/>
          <w:highlight w:val="none"/>
          <w:lang w:val="en-US" w:eastAsia="zh-CN" w:bidi="ar-SA"/>
        </w:rPr>
        <w:t>附件</w:t>
      </w:r>
    </w:p>
    <w:p>
      <w:pPr>
        <w:pStyle w:val="9"/>
        <w:widowControl w:val="0"/>
        <w:numPr>
          <w:ilvl w:val="0"/>
          <w:numId w:val="9"/>
        </w:numPr>
        <w:spacing w:before="0" w:beforeAutospacing="0" w:after="0" w:afterAutospacing="0" w:line="440" w:lineRule="exact"/>
        <w:jc w:val="both"/>
        <w:rPr>
          <w:rFonts w:hint="eastAsia" w:eastAsia="宋体" w:cs="宋体"/>
          <w:b w:val="0"/>
          <w:bCs w:val="0"/>
          <w:kern w:val="2"/>
          <w:sz w:val="24"/>
          <w:szCs w:val="24"/>
          <w:highlight w:val="none"/>
          <w:lang w:val="en-US" w:eastAsia="zh-CN" w:bidi="ar-SA"/>
        </w:rPr>
      </w:pPr>
      <w:r>
        <w:rPr>
          <w:rFonts w:hint="eastAsia" w:eastAsia="宋体" w:cs="宋体"/>
          <w:b w:val="0"/>
          <w:bCs w:val="0"/>
          <w:kern w:val="2"/>
          <w:sz w:val="24"/>
          <w:szCs w:val="24"/>
          <w:highlight w:val="none"/>
          <w:lang w:val="en-US" w:eastAsia="zh-CN" w:bidi="ar-SA"/>
        </w:rPr>
        <w:t>除本须知第9.1）款内容外，招标代理在投标截止时间前，以书面形式或在山东省/临沂政府采购网上发出的</w:t>
      </w:r>
      <w:r>
        <w:rPr>
          <w:rFonts w:hint="eastAsia" w:cs="宋体"/>
          <w:b w:val="0"/>
          <w:bCs w:val="0"/>
          <w:kern w:val="2"/>
          <w:sz w:val="24"/>
          <w:szCs w:val="24"/>
          <w:highlight w:val="none"/>
          <w:lang w:val="en-US" w:eastAsia="zh-CN" w:bidi="ar-SA"/>
        </w:rPr>
        <w:t>采购文件</w:t>
      </w:r>
      <w:r>
        <w:rPr>
          <w:rFonts w:hint="eastAsia" w:eastAsia="宋体" w:cs="宋体"/>
          <w:b w:val="0"/>
          <w:bCs w:val="0"/>
          <w:kern w:val="2"/>
          <w:sz w:val="24"/>
          <w:szCs w:val="24"/>
          <w:highlight w:val="none"/>
          <w:lang w:val="en-US" w:eastAsia="zh-CN" w:bidi="ar-SA"/>
        </w:rPr>
        <w:t>的澄清、修改、补充或变更通知、内容，均为</w:t>
      </w:r>
      <w:r>
        <w:rPr>
          <w:rFonts w:hint="eastAsia" w:cs="宋体"/>
          <w:b w:val="0"/>
          <w:bCs w:val="0"/>
          <w:kern w:val="2"/>
          <w:sz w:val="24"/>
          <w:szCs w:val="24"/>
          <w:highlight w:val="none"/>
          <w:lang w:val="en-US" w:eastAsia="zh-CN" w:bidi="ar-SA"/>
        </w:rPr>
        <w:t>采购文件</w:t>
      </w:r>
      <w:r>
        <w:rPr>
          <w:rFonts w:hint="eastAsia" w:eastAsia="宋体" w:cs="宋体"/>
          <w:b w:val="0"/>
          <w:bCs w:val="0"/>
          <w:kern w:val="2"/>
          <w:sz w:val="24"/>
          <w:szCs w:val="24"/>
          <w:highlight w:val="none"/>
          <w:lang w:val="en-US" w:eastAsia="zh-CN" w:bidi="ar-SA"/>
        </w:rPr>
        <w:t>的组成部分，对投标人起约束作用。</w:t>
      </w:r>
    </w:p>
    <w:p>
      <w:pPr>
        <w:pStyle w:val="9"/>
        <w:widowControl w:val="0"/>
        <w:numPr>
          <w:ilvl w:val="0"/>
          <w:numId w:val="9"/>
        </w:numPr>
        <w:spacing w:before="0" w:beforeAutospacing="0" w:after="0" w:afterAutospacing="0" w:line="440" w:lineRule="exact"/>
        <w:jc w:val="both"/>
        <w:rPr>
          <w:rFonts w:hint="eastAsia" w:eastAsia="宋体" w:cs="宋体"/>
          <w:kern w:val="2"/>
          <w:sz w:val="24"/>
          <w:szCs w:val="24"/>
          <w:highlight w:val="none"/>
          <w:lang w:val="en-US" w:eastAsia="zh-CN" w:bidi="ar-SA"/>
        </w:rPr>
      </w:pPr>
      <w:r>
        <w:rPr>
          <w:rFonts w:hint="eastAsia" w:eastAsia="宋体" w:cs="宋体"/>
          <w:b w:val="0"/>
          <w:bCs w:val="0"/>
          <w:kern w:val="2"/>
          <w:sz w:val="24"/>
          <w:szCs w:val="24"/>
          <w:highlight w:val="none"/>
          <w:lang w:val="en-US" w:eastAsia="zh-CN" w:bidi="ar-SA"/>
        </w:rPr>
        <w:t>投标人获取</w:t>
      </w:r>
      <w:r>
        <w:rPr>
          <w:rFonts w:hint="eastAsia" w:cs="宋体"/>
          <w:b w:val="0"/>
          <w:bCs w:val="0"/>
          <w:kern w:val="2"/>
          <w:sz w:val="24"/>
          <w:szCs w:val="24"/>
          <w:highlight w:val="none"/>
          <w:lang w:val="en-US" w:eastAsia="zh-CN" w:bidi="ar-SA"/>
        </w:rPr>
        <w:t>采购文件</w:t>
      </w:r>
      <w:r>
        <w:rPr>
          <w:rFonts w:hint="eastAsia" w:eastAsia="宋体" w:cs="宋体"/>
          <w:b w:val="0"/>
          <w:bCs w:val="0"/>
          <w:kern w:val="2"/>
          <w:sz w:val="24"/>
          <w:szCs w:val="24"/>
          <w:highlight w:val="none"/>
          <w:lang w:val="en-US" w:eastAsia="zh-CN" w:bidi="ar-SA"/>
        </w:rPr>
        <w:t>后，应认真阅读</w:t>
      </w:r>
      <w:r>
        <w:rPr>
          <w:rFonts w:hint="eastAsia" w:cs="宋体"/>
          <w:b w:val="0"/>
          <w:bCs w:val="0"/>
          <w:kern w:val="2"/>
          <w:sz w:val="24"/>
          <w:szCs w:val="24"/>
          <w:highlight w:val="none"/>
          <w:lang w:val="en-US" w:eastAsia="zh-CN" w:bidi="ar-SA"/>
        </w:rPr>
        <w:t>采购文件</w:t>
      </w:r>
      <w:r>
        <w:rPr>
          <w:rFonts w:hint="eastAsia" w:eastAsia="宋体" w:cs="宋体"/>
          <w:b w:val="0"/>
          <w:bCs w:val="0"/>
          <w:kern w:val="2"/>
          <w:sz w:val="24"/>
          <w:szCs w:val="24"/>
          <w:highlight w:val="none"/>
          <w:lang w:val="en-US" w:eastAsia="zh-CN" w:bidi="ar-SA"/>
        </w:rPr>
        <w:t>中所有的事项、格式、条款和规范等要求。如果投标人没有按照</w:t>
      </w:r>
      <w:r>
        <w:rPr>
          <w:rFonts w:hint="eastAsia" w:cs="宋体"/>
          <w:b w:val="0"/>
          <w:bCs w:val="0"/>
          <w:kern w:val="2"/>
          <w:sz w:val="24"/>
          <w:szCs w:val="24"/>
          <w:highlight w:val="none"/>
          <w:lang w:val="en-US" w:eastAsia="zh-CN" w:bidi="ar-SA"/>
        </w:rPr>
        <w:t>采购文件</w:t>
      </w:r>
      <w:r>
        <w:rPr>
          <w:rFonts w:hint="eastAsia" w:eastAsia="宋体" w:cs="宋体"/>
          <w:b w:val="0"/>
          <w:bCs w:val="0"/>
          <w:kern w:val="2"/>
          <w:sz w:val="24"/>
          <w:szCs w:val="24"/>
          <w:highlight w:val="none"/>
          <w:lang w:val="en-US" w:eastAsia="zh-CN" w:bidi="ar-SA"/>
        </w:rPr>
        <w:t>要求和规定编制投标文件及提交全部资料，或者投标文件没有对</w:t>
      </w:r>
      <w:r>
        <w:rPr>
          <w:rFonts w:hint="eastAsia" w:cs="宋体"/>
          <w:b w:val="0"/>
          <w:bCs w:val="0"/>
          <w:kern w:val="2"/>
          <w:sz w:val="24"/>
          <w:szCs w:val="24"/>
          <w:highlight w:val="none"/>
          <w:lang w:val="en-US" w:eastAsia="zh-CN" w:bidi="ar-SA"/>
        </w:rPr>
        <w:t>采购文件</w:t>
      </w:r>
      <w:r>
        <w:rPr>
          <w:rFonts w:hint="eastAsia" w:eastAsia="宋体" w:cs="宋体"/>
          <w:b w:val="0"/>
          <w:bCs w:val="0"/>
          <w:kern w:val="2"/>
          <w:sz w:val="24"/>
          <w:szCs w:val="24"/>
          <w:highlight w:val="none"/>
          <w:lang w:val="en-US" w:eastAsia="zh-CN" w:bidi="ar-SA"/>
        </w:rPr>
        <w:t>在各方面都做出实质性响应，其风险应由投标人承担；并根据有关条款规定，其投标有可能被拒绝。</w:t>
      </w:r>
    </w:p>
    <w:p>
      <w:pPr>
        <w:pStyle w:val="9"/>
        <w:widowControl w:val="0"/>
        <w:numPr>
          <w:ilvl w:val="0"/>
          <w:numId w:val="6"/>
        </w:numPr>
        <w:spacing w:before="0" w:beforeAutospacing="0" w:after="0" w:afterAutospacing="0" w:line="440" w:lineRule="exact"/>
        <w:jc w:val="both"/>
        <w:rPr>
          <w:rFonts w:hint="eastAsia" w:eastAsia="宋体" w:cs="宋体"/>
          <w:b/>
          <w:bCs/>
          <w:kern w:val="2"/>
          <w:sz w:val="24"/>
          <w:szCs w:val="24"/>
          <w:highlight w:val="none"/>
          <w:lang w:val="en-US" w:eastAsia="zh-CN" w:bidi="ar-SA"/>
        </w:rPr>
      </w:pPr>
      <w:r>
        <w:rPr>
          <w:rFonts w:hint="eastAsia" w:cs="宋体"/>
          <w:b/>
          <w:bCs/>
          <w:kern w:val="2"/>
          <w:sz w:val="24"/>
          <w:szCs w:val="24"/>
          <w:highlight w:val="none"/>
          <w:lang w:val="en-US" w:eastAsia="zh-CN" w:bidi="ar-SA"/>
        </w:rPr>
        <w:t>采购</w:t>
      </w:r>
      <w:r>
        <w:rPr>
          <w:rFonts w:hint="eastAsia" w:eastAsia="宋体" w:cs="宋体"/>
          <w:b/>
          <w:bCs/>
          <w:kern w:val="2"/>
          <w:sz w:val="24"/>
          <w:szCs w:val="24"/>
          <w:highlight w:val="none"/>
          <w:lang w:val="en-US" w:eastAsia="zh-CN" w:bidi="ar-SA"/>
        </w:rPr>
        <w:t>文件的澄清、修改、补充</w:t>
      </w:r>
    </w:p>
    <w:p>
      <w:pPr>
        <w:spacing w:line="440" w:lineRule="exac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1）投标人若对</w:t>
      </w:r>
      <w:r>
        <w:rPr>
          <w:rFonts w:hint="eastAsia" w:ascii="宋体" w:hAnsi="宋体" w:cs="宋体"/>
          <w:b w:val="0"/>
          <w:bCs w:val="0"/>
          <w:kern w:val="2"/>
          <w:sz w:val="24"/>
          <w:szCs w:val="24"/>
          <w:highlight w:val="none"/>
          <w:lang w:val="en-US" w:eastAsia="zh-CN" w:bidi="ar-SA"/>
        </w:rPr>
        <w:t>采购文件</w:t>
      </w:r>
      <w:r>
        <w:rPr>
          <w:rFonts w:hint="eastAsia" w:ascii="宋体" w:hAnsi="宋体" w:eastAsia="宋体" w:cs="宋体"/>
          <w:b w:val="0"/>
          <w:bCs w:val="0"/>
          <w:kern w:val="2"/>
          <w:sz w:val="24"/>
          <w:szCs w:val="24"/>
          <w:highlight w:val="none"/>
          <w:lang w:val="en-US" w:eastAsia="zh-CN" w:bidi="ar-SA"/>
        </w:rPr>
        <w:t>有任何疑问，应于</w:t>
      </w:r>
      <w:r>
        <w:rPr>
          <w:rFonts w:hint="eastAsia" w:ascii="宋体" w:hAnsi="宋体" w:eastAsia="宋体" w:cs="宋体"/>
          <w:b w:val="0"/>
          <w:bCs w:val="0"/>
          <w:color w:val="FF0000"/>
          <w:kern w:val="2"/>
          <w:sz w:val="24"/>
          <w:szCs w:val="24"/>
          <w:highlight w:val="none"/>
          <w:lang w:val="en-US" w:eastAsia="zh-CN" w:bidi="ar-SA"/>
        </w:rPr>
        <w:t>201</w:t>
      </w:r>
      <w:r>
        <w:rPr>
          <w:rFonts w:hint="eastAsia" w:ascii="宋体" w:hAnsi="宋体" w:cs="宋体"/>
          <w:b w:val="0"/>
          <w:bCs w:val="0"/>
          <w:color w:val="FF0000"/>
          <w:kern w:val="2"/>
          <w:sz w:val="24"/>
          <w:szCs w:val="24"/>
          <w:highlight w:val="none"/>
          <w:lang w:val="en-US" w:eastAsia="zh-CN" w:bidi="ar-SA"/>
        </w:rPr>
        <w:t>7</w:t>
      </w:r>
      <w:r>
        <w:rPr>
          <w:rFonts w:hint="eastAsia" w:ascii="宋体" w:hAnsi="宋体" w:eastAsia="宋体" w:cs="宋体"/>
          <w:b w:val="0"/>
          <w:bCs w:val="0"/>
          <w:color w:val="FF0000"/>
          <w:kern w:val="2"/>
          <w:sz w:val="24"/>
          <w:szCs w:val="24"/>
          <w:highlight w:val="none"/>
          <w:lang w:val="en-US" w:eastAsia="zh-CN" w:bidi="ar-SA"/>
        </w:rPr>
        <w:t>年</w:t>
      </w:r>
      <w:r>
        <w:rPr>
          <w:rFonts w:hint="eastAsia" w:ascii="宋体" w:hAnsi="宋体" w:cs="宋体"/>
          <w:b w:val="0"/>
          <w:bCs w:val="0"/>
          <w:color w:val="FF0000"/>
          <w:kern w:val="2"/>
          <w:sz w:val="24"/>
          <w:szCs w:val="24"/>
          <w:highlight w:val="none"/>
          <w:lang w:val="en-US" w:eastAsia="zh-CN" w:bidi="ar-SA"/>
        </w:rPr>
        <w:t>10</w:t>
      </w:r>
      <w:r>
        <w:rPr>
          <w:rFonts w:hint="eastAsia" w:ascii="宋体" w:hAnsi="宋体" w:eastAsia="宋体" w:cs="宋体"/>
          <w:b w:val="0"/>
          <w:bCs w:val="0"/>
          <w:color w:val="FF0000"/>
          <w:kern w:val="2"/>
          <w:sz w:val="24"/>
          <w:szCs w:val="24"/>
          <w:highlight w:val="none"/>
          <w:lang w:val="en-US" w:eastAsia="zh-CN" w:bidi="ar-SA"/>
        </w:rPr>
        <w:t>月</w:t>
      </w:r>
      <w:r>
        <w:rPr>
          <w:rFonts w:hint="eastAsia" w:ascii="宋体" w:hAnsi="宋体" w:cs="宋体"/>
          <w:b w:val="0"/>
          <w:bCs w:val="0"/>
          <w:color w:val="FF0000"/>
          <w:kern w:val="2"/>
          <w:sz w:val="24"/>
          <w:szCs w:val="24"/>
          <w:highlight w:val="none"/>
          <w:lang w:val="en-US" w:eastAsia="zh-CN" w:bidi="ar-SA"/>
        </w:rPr>
        <w:t>13</w:t>
      </w:r>
      <w:r>
        <w:rPr>
          <w:rFonts w:hint="eastAsia" w:ascii="宋体" w:hAnsi="宋体" w:eastAsia="宋体" w:cs="宋体"/>
          <w:b w:val="0"/>
          <w:bCs w:val="0"/>
          <w:color w:val="FF0000"/>
          <w:kern w:val="2"/>
          <w:sz w:val="24"/>
          <w:szCs w:val="24"/>
          <w:highlight w:val="none"/>
          <w:lang w:val="en-US" w:eastAsia="zh-CN" w:bidi="ar-SA"/>
        </w:rPr>
        <w:t>日17:00</w:t>
      </w:r>
      <w:r>
        <w:rPr>
          <w:rFonts w:hint="eastAsia" w:ascii="宋体" w:hAnsi="宋体" w:eastAsia="宋体" w:cs="宋体"/>
          <w:b w:val="0"/>
          <w:bCs w:val="0"/>
          <w:kern w:val="2"/>
          <w:sz w:val="24"/>
          <w:szCs w:val="24"/>
          <w:highlight w:val="none"/>
          <w:lang w:val="en-US" w:eastAsia="zh-CN" w:bidi="ar-SA"/>
        </w:rPr>
        <w:t>时前以书面形式（加盖供应商单位公章，否则不予答复）向采购代理机构提出澄清要求（同时提供WORD格式电子版发往：</w:t>
      </w:r>
      <w:r>
        <w:rPr>
          <w:rFonts w:hint="eastAsia" w:ascii="宋体" w:hAnsi="宋体" w:cs="宋体"/>
          <w:b w:val="0"/>
          <w:bCs w:val="0"/>
          <w:kern w:val="2"/>
          <w:sz w:val="24"/>
          <w:szCs w:val="24"/>
          <w:highlight w:val="none"/>
          <w:lang w:val="en-US" w:eastAsia="zh-CN" w:bidi="ar-SA"/>
        </w:rPr>
        <w:t>sdsjzly</w:t>
      </w:r>
      <w:r>
        <w:rPr>
          <w:rFonts w:hint="eastAsia" w:ascii="宋体" w:hAnsi="宋体" w:eastAsia="宋体" w:cs="宋体"/>
          <w:b w:val="0"/>
          <w:bCs w:val="0"/>
          <w:kern w:val="2"/>
          <w:sz w:val="24"/>
          <w:szCs w:val="24"/>
          <w:highlight w:val="none"/>
          <w:lang w:val="en-US" w:eastAsia="zh-CN" w:bidi="ar-SA"/>
        </w:rPr>
        <w:t>@163.com）；若没有，视为供应商对</w:t>
      </w:r>
      <w:r>
        <w:rPr>
          <w:rFonts w:hint="eastAsia" w:ascii="宋体" w:hAnsi="宋体" w:cs="宋体"/>
          <w:b w:val="0"/>
          <w:bCs w:val="0"/>
          <w:kern w:val="2"/>
          <w:sz w:val="24"/>
          <w:szCs w:val="24"/>
          <w:highlight w:val="none"/>
          <w:lang w:val="en-US" w:eastAsia="zh-CN" w:bidi="ar-SA"/>
        </w:rPr>
        <w:t>采购文件</w:t>
      </w:r>
      <w:r>
        <w:rPr>
          <w:rFonts w:hint="eastAsia" w:ascii="宋体" w:hAnsi="宋体" w:eastAsia="宋体" w:cs="宋体"/>
          <w:b w:val="0"/>
          <w:bCs w:val="0"/>
          <w:kern w:val="2"/>
          <w:sz w:val="24"/>
          <w:szCs w:val="24"/>
          <w:highlight w:val="none"/>
          <w:lang w:val="en-US" w:eastAsia="zh-CN" w:bidi="ar-SA"/>
        </w:rPr>
        <w:t>无任何异议。</w:t>
      </w:r>
      <w:r>
        <w:rPr>
          <w:rFonts w:hint="eastAsia" w:ascii="宋体" w:hAnsi="宋体" w:cs="宋体"/>
          <w:b w:val="0"/>
          <w:bCs w:val="0"/>
          <w:kern w:val="2"/>
          <w:sz w:val="24"/>
          <w:szCs w:val="24"/>
          <w:highlight w:val="none"/>
          <w:lang w:val="en-US" w:eastAsia="zh-CN" w:bidi="ar-SA"/>
        </w:rPr>
        <w:t>采购代理机构</w:t>
      </w:r>
      <w:r>
        <w:rPr>
          <w:rFonts w:hint="eastAsia" w:ascii="宋体" w:hAnsi="宋体" w:eastAsia="宋体" w:cs="宋体"/>
          <w:b w:val="0"/>
          <w:bCs w:val="0"/>
          <w:kern w:val="2"/>
          <w:sz w:val="24"/>
          <w:szCs w:val="24"/>
          <w:highlight w:val="none"/>
          <w:lang w:val="en-US" w:eastAsia="zh-CN" w:bidi="ar-SA"/>
        </w:rPr>
        <w:t>对</w:t>
      </w:r>
      <w:r>
        <w:rPr>
          <w:rFonts w:hint="eastAsia" w:ascii="宋体" w:hAnsi="宋体" w:eastAsia="宋体" w:cs="宋体"/>
          <w:b w:val="0"/>
          <w:bCs w:val="0"/>
          <w:color w:val="FF0000"/>
          <w:kern w:val="2"/>
          <w:sz w:val="24"/>
          <w:szCs w:val="24"/>
          <w:highlight w:val="none"/>
          <w:lang w:val="en-US" w:eastAsia="zh-CN" w:bidi="ar-SA"/>
        </w:rPr>
        <w:t>201</w:t>
      </w:r>
      <w:r>
        <w:rPr>
          <w:rFonts w:hint="eastAsia" w:ascii="宋体" w:hAnsi="宋体" w:cs="宋体"/>
          <w:b w:val="0"/>
          <w:bCs w:val="0"/>
          <w:color w:val="FF0000"/>
          <w:kern w:val="2"/>
          <w:sz w:val="24"/>
          <w:szCs w:val="24"/>
          <w:highlight w:val="none"/>
          <w:lang w:val="en-US" w:eastAsia="zh-CN" w:bidi="ar-SA"/>
        </w:rPr>
        <w:t>7</w:t>
      </w:r>
      <w:r>
        <w:rPr>
          <w:rFonts w:hint="eastAsia" w:ascii="宋体" w:hAnsi="宋体" w:eastAsia="宋体" w:cs="宋体"/>
          <w:b w:val="0"/>
          <w:bCs w:val="0"/>
          <w:color w:val="FF0000"/>
          <w:kern w:val="2"/>
          <w:sz w:val="24"/>
          <w:szCs w:val="24"/>
          <w:highlight w:val="none"/>
          <w:lang w:val="en-US" w:eastAsia="zh-CN" w:bidi="ar-SA"/>
        </w:rPr>
        <w:t>年</w:t>
      </w:r>
      <w:r>
        <w:rPr>
          <w:rFonts w:hint="eastAsia" w:ascii="宋体" w:hAnsi="宋体" w:cs="宋体"/>
          <w:b w:val="0"/>
          <w:bCs w:val="0"/>
          <w:color w:val="FF0000"/>
          <w:kern w:val="2"/>
          <w:sz w:val="24"/>
          <w:szCs w:val="24"/>
          <w:highlight w:val="none"/>
          <w:lang w:val="en-US" w:eastAsia="zh-CN" w:bidi="ar-SA"/>
        </w:rPr>
        <w:t>10</w:t>
      </w:r>
      <w:r>
        <w:rPr>
          <w:rFonts w:hint="eastAsia" w:ascii="宋体" w:hAnsi="宋体" w:eastAsia="宋体" w:cs="宋体"/>
          <w:b w:val="0"/>
          <w:bCs w:val="0"/>
          <w:color w:val="FF0000"/>
          <w:kern w:val="2"/>
          <w:sz w:val="24"/>
          <w:szCs w:val="24"/>
          <w:highlight w:val="none"/>
          <w:lang w:val="en-US" w:eastAsia="zh-CN" w:bidi="ar-SA"/>
        </w:rPr>
        <w:t>月</w:t>
      </w:r>
      <w:r>
        <w:rPr>
          <w:rFonts w:hint="eastAsia" w:ascii="宋体" w:hAnsi="宋体" w:cs="宋体"/>
          <w:b w:val="0"/>
          <w:bCs w:val="0"/>
          <w:color w:val="FF0000"/>
          <w:kern w:val="2"/>
          <w:sz w:val="24"/>
          <w:szCs w:val="24"/>
          <w:highlight w:val="none"/>
          <w:lang w:val="en-US" w:eastAsia="zh-CN" w:bidi="ar-SA"/>
        </w:rPr>
        <w:t>13</w:t>
      </w:r>
      <w:r>
        <w:rPr>
          <w:rFonts w:hint="eastAsia" w:ascii="宋体" w:hAnsi="宋体" w:eastAsia="宋体" w:cs="宋体"/>
          <w:b w:val="0"/>
          <w:bCs w:val="0"/>
          <w:color w:val="FF0000"/>
          <w:kern w:val="2"/>
          <w:sz w:val="24"/>
          <w:szCs w:val="24"/>
          <w:highlight w:val="none"/>
          <w:lang w:val="en-US" w:eastAsia="zh-CN" w:bidi="ar-SA"/>
        </w:rPr>
        <w:t>日17:00</w:t>
      </w:r>
      <w:r>
        <w:rPr>
          <w:rFonts w:hint="eastAsia" w:ascii="宋体" w:hAnsi="宋体" w:eastAsia="宋体" w:cs="宋体"/>
          <w:b w:val="0"/>
          <w:bCs w:val="0"/>
          <w:kern w:val="2"/>
          <w:sz w:val="24"/>
          <w:szCs w:val="24"/>
          <w:highlight w:val="none"/>
          <w:lang w:val="en-US" w:eastAsia="zh-CN" w:bidi="ar-SA"/>
        </w:rPr>
        <w:t>时前收到的任何澄清要求将以书面形式予以答复，答复中包括所问问题，但不包括问题的来源，投标单位应提前做好充分准备，书面形式答复以后，投标时间不再后延，投标单位不得以时间等原因再提出异议。</w:t>
      </w:r>
    </w:p>
    <w:p>
      <w:pPr>
        <w:spacing w:line="440" w:lineRule="exac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2）在投标截止时间前，</w:t>
      </w:r>
      <w:r>
        <w:rPr>
          <w:rFonts w:hint="eastAsia" w:ascii="宋体" w:hAnsi="宋体" w:cs="宋体"/>
          <w:b w:val="0"/>
          <w:bCs w:val="0"/>
          <w:kern w:val="2"/>
          <w:sz w:val="24"/>
          <w:szCs w:val="24"/>
          <w:highlight w:val="none"/>
          <w:lang w:val="en-US" w:eastAsia="zh-CN" w:bidi="ar-SA"/>
        </w:rPr>
        <w:t>采购代理机构</w:t>
      </w:r>
      <w:r>
        <w:rPr>
          <w:rFonts w:hint="eastAsia" w:ascii="宋体" w:hAnsi="宋体" w:eastAsia="宋体" w:cs="宋体"/>
          <w:b w:val="0"/>
          <w:bCs w:val="0"/>
          <w:kern w:val="2"/>
          <w:sz w:val="24"/>
          <w:szCs w:val="24"/>
          <w:highlight w:val="none"/>
          <w:lang w:val="en-US" w:eastAsia="zh-CN" w:bidi="ar-SA"/>
        </w:rPr>
        <w:t>均可主动地或在解答投标人提出的澄清问题时对</w:t>
      </w:r>
      <w:r>
        <w:rPr>
          <w:rFonts w:hint="eastAsia" w:ascii="宋体" w:hAnsi="宋体" w:cs="宋体"/>
          <w:b w:val="0"/>
          <w:bCs w:val="0"/>
          <w:kern w:val="2"/>
          <w:sz w:val="24"/>
          <w:szCs w:val="24"/>
          <w:highlight w:val="none"/>
          <w:lang w:val="en-US" w:eastAsia="zh-CN" w:bidi="ar-SA"/>
        </w:rPr>
        <w:t>采购文件</w:t>
      </w:r>
      <w:r>
        <w:rPr>
          <w:rFonts w:hint="eastAsia" w:ascii="宋体" w:hAnsi="宋体" w:eastAsia="宋体" w:cs="宋体"/>
          <w:b w:val="0"/>
          <w:bCs w:val="0"/>
          <w:kern w:val="2"/>
          <w:sz w:val="24"/>
          <w:szCs w:val="24"/>
          <w:highlight w:val="none"/>
          <w:lang w:val="en-US" w:eastAsia="zh-CN" w:bidi="ar-SA"/>
        </w:rPr>
        <w:t>进行澄清、修改、补充等。</w:t>
      </w:r>
    </w:p>
    <w:p>
      <w:pPr>
        <w:spacing w:line="440" w:lineRule="exac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w:t>
      </w:r>
      <w:r>
        <w:rPr>
          <w:rFonts w:hint="eastAsia" w:ascii="宋体" w:hAnsi="宋体" w:cs="宋体"/>
          <w:b w:val="0"/>
          <w:bCs w:val="0"/>
          <w:kern w:val="2"/>
          <w:sz w:val="24"/>
          <w:szCs w:val="24"/>
          <w:highlight w:val="none"/>
          <w:lang w:val="en-US" w:eastAsia="zh-CN" w:bidi="ar-SA"/>
        </w:rPr>
        <w:t>采购文件</w:t>
      </w:r>
      <w:r>
        <w:rPr>
          <w:rFonts w:hint="eastAsia" w:ascii="宋体" w:hAnsi="宋体" w:eastAsia="宋体" w:cs="宋体"/>
          <w:b w:val="0"/>
          <w:bCs w:val="0"/>
          <w:kern w:val="2"/>
          <w:sz w:val="24"/>
          <w:szCs w:val="24"/>
          <w:highlight w:val="none"/>
          <w:lang w:val="en-US" w:eastAsia="zh-CN" w:bidi="ar-SA"/>
        </w:rPr>
        <w:t>的修改将以书面形式或在临沂政府采购网上通知所有购买同一</w:t>
      </w:r>
      <w:r>
        <w:rPr>
          <w:rFonts w:hint="eastAsia" w:ascii="宋体" w:hAnsi="宋体" w:cs="宋体"/>
          <w:b w:val="0"/>
          <w:bCs w:val="0"/>
          <w:kern w:val="2"/>
          <w:sz w:val="24"/>
          <w:szCs w:val="24"/>
          <w:highlight w:val="none"/>
          <w:lang w:val="en-US" w:eastAsia="zh-CN" w:bidi="ar-SA"/>
        </w:rPr>
        <w:t>采购文件</w:t>
      </w:r>
      <w:r>
        <w:rPr>
          <w:rFonts w:hint="eastAsia" w:ascii="宋体" w:hAnsi="宋体" w:eastAsia="宋体" w:cs="宋体"/>
          <w:b w:val="0"/>
          <w:bCs w:val="0"/>
          <w:kern w:val="2"/>
          <w:sz w:val="24"/>
          <w:szCs w:val="24"/>
          <w:highlight w:val="none"/>
          <w:lang w:val="en-US" w:eastAsia="zh-CN" w:bidi="ar-SA"/>
        </w:rPr>
        <w:t>的投标人，并对其具有约束力。投标人应在收到修改文件后1日内以书面形式回复</w:t>
      </w:r>
      <w:r>
        <w:rPr>
          <w:rFonts w:hint="eastAsia" w:ascii="宋体" w:hAnsi="宋体" w:cs="宋体"/>
          <w:b w:val="0"/>
          <w:bCs w:val="0"/>
          <w:kern w:val="2"/>
          <w:sz w:val="24"/>
          <w:szCs w:val="24"/>
          <w:highlight w:val="none"/>
          <w:lang w:val="en-US" w:eastAsia="zh-CN" w:bidi="ar-SA"/>
        </w:rPr>
        <w:t>采购代理机构</w:t>
      </w:r>
      <w:r>
        <w:rPr>
          <w:rFonts w:hint="eastAsia" w:ascii="宋体" w:hAnsi="宋体" w:eastAsia="宋体" w:cs="宋体"/>
          <w:b w:val="0"/>
          <w:bCs w:val="0"/>
          <w:kern w:val="2"/>
          <w:sz w:val="24"/>
          <w:szCs w:val="24"/>
          <w:highlight w:val="none"/>
          <w:lang w:val="en-US" w:eastAsia="zh-CN" w:bidi="ar-SA"/>
        </w:rPr>
        <w:t>，确认已收到该修改文件。</w:t>
      </w:r>
    </w:p>
    <w:p>
      <w:pPr>
        <w:spacing w:line="440" w:lineRule="exac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w:t>
      </w:r>
      <w:r>
        <w:rPr>
          <w:rFonts w:hint="eastAsia" w:ascii="宋体" w:hAnsi="宋体" w:cs="宋体"/>
          <w:b w:val="0"/>
          <w:bCs w:val="0"/>
          <w:kern w:val="2"/>
          <w:sz w:val="24"/>
          <w:szCs w:val="24"/>
          <w:highlight w:val="none"/>
          <w:lang w:val="en-US" w:eastAsia="zh-CN" w:bidi="ar-SA"/>
        </w:rPr>
        <w:t>采购文件</w:t>
      </w:r>
      <w:r>
        <w:rPr>
          <w:rFonts w:hint="eastAsia" w:ascii="宋体" w:hAnsi="宋体" w:eastAsia="宋体" w:cs="宋体"/>
          <w:b w:val="0"/>
          <w:bCs w:val="0"/>
          <w:kern w:val="2"/>
          <w:sz w:val="24"/>
          <w:szCs w:val="24"/>
          <w:highlight w:val="none"/>
          <w:lang w:val="en-US" w:eastAsia="zh-CN" w:bidi="ar-SA"/>
        </w:rPr>
        <w:t>的澄清、修改、补充等内容均以书面形式或在临沂市政府采购网上通知明确的内容为准，当</w:t>
      </w:r>
      <w:r>
        <w:rPr>
          <w:rFonts w:hint="eastAsia" w:ascii="宋体" w:hAnsi="宋体" w:cs="宋体"/>
          <w:b w:val="0"/>
          <w:bCs w:val="0"/>
          <w:kern w:val="2"/>
          <w:sz w:val="24"/>
          <w:szCs w:val="24"/>
          <w:highlight w:val="none"/>
          <w:lang w:val="en-US" w:eastAsia="zh-CN" w:bidi="ar-SA"/>
        </w:rPr>
        <w:t>采购文件</w:t>
      </w:r>
      <w:r>
        <w:rPr>
          <w:rFonts w:hint="eastAsia" w:ascii="宋体" w:hAnsi="宋体" w:eastAsia="宋体" w:cs="宋体"/>
          <w:b w:val="0"/>
          <w:bCs w:val="0"/>
          <w:kern w:val="2"/>
          <w:sz w:val="24"/>
          <w:szCs w:val="24"/>
          <w:highlight w:val="none"/>
          <w:lang w:val="en-US" w:eastAsia="zh-CN" w:bidi="ar-SA"/>
        </w:rPr>
        <w:t>、</w:t>
      </w:r>
      <w:r>
        <w:rPr>
          <w:rFonts w:hint="eastAsia" w:ascii="宋体" w:hAnsi="宋体" w:cs="宋体"/>
          <w:b w:val="0"/>
          <w:bCs w:val="0"/>
          <w:kern w:val="2"/>
          <w:sz w:val="24"/>
          <w:szCs w:val="24"/>
          <w:highlight w:val="none"/>
          <w:lang w:val="en-US" w:eastAsia="zh-CN" w:bidi="ar-SA"/>
        </w:rPr>
        <w:t>采购文件</w:t>
      </w:r>
      <w:r>
        <w:rPr>
          <w:rFonts w:hint="eastAsia" w:ascii="宋体" w:hAnsi="宋体" w:eastAsia="宋体" w:cs="宋体"/>
          <w:b w:val="0"/>
          <w:bCs w:val="0"/>
          <w:kern w:val="2"/>
          <w:sz w:val="24"/>
          <w:szCs w:val="24"/>
          <w:highlight w:val="none"/>
          <w:lang w:val="en-US" w:eastAsia="zh-CN" w:bidi="ar-SA"/>
        </w:rPr>
        <w:t>的澄清、修改、补充等在同一内容的表述上不一致时，以最后发出的书面形式通知为准（若在山东省/临沂市政府采购网上发出通知，则视为所有投标人都已收到</w:t>
      </w:r>
      <w:r>
        <w:rPr>
          <w:rFonts w:hint="eastAsia" w:ascii="宋体" w:hAnsi="宋体" w:cs="宋体"/>
          <w:b w:val="0"/>
          <w:bCs w:val="0"/>
          <w:kern w:val="2"/>
          <w:sz w:val="24"/>
          <w:szCs w:val="24"/>
          <w:highlight w:val="none"/>
          <w:lang w:val="en-US" w:eastAsia="zh-CN" w:bidi="ar-SA"/>
        </w:rPr>
        <w:t>采购文件</w:t>
      </w:r>
      <w:r>
        <w:rPr>
          <w:rFonts w:hint="eastAsia" w:ascii="宋体" w:hAnsi="宋体" w:eastAsia="宋体" w:cs="宋体"/>
          <w:b w:val="0"/>
          <w:bCs w:val="0"/>
          <w:kern w:val="2"/>
          <w:sz w:val="24"/>
          <w:szCs w:val="24"/>
          <w:highlight w:val="none"/>
          <w:lang w:val="en-US" w:eastAsia="zh-CN" w:bidi="ar-SA"/>
        </w:rPr>
        <w:t>的澄清、修改、补充等通知内容）。</w:t>
      </w:r>
    </w:p>
    <w:p>
      <w:pPr>
        <w:spacing w:line="440" w:lineRule="exac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为使投标人编写投标文件时有充分的时间对招标文件的澄清、修改、补充等内容进行研究，招标代理机构有权推迟投标截止时间和开标时间，并将此变更书面或在山东省政府采购网、临沂政府采购网上通知所有购买同一招标文件的投标人。</w:t>
      </w:r>
    </w:p>
    <w:p>
      <w:pPr>
        <w:spacing w:line="440" w:lineRule="exac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6）自</w:t>
      </w:r>
      <w:r>
        <w:rPr>
          <w:rFonts w:hint="eastAsia" w:ascii="宋体" w:hAnsi="宋体" w:cs="宋体"/>
          <w:b w:val="0"/>
          <w:bCs w:val="0"/>
          <w:kern w:val="2"/>
          <w:sz w:val="24"/>
          <w:szCs w:val="24"/>
          <w:highlight w:val="none"/>
          <w:lang w:val="en-US" w:eastAsia="zh-CN" w:bidi="ar-SA"/>
        </w:rPr>
        <w:t>采购文件</w:t>
      </w:r>
      <w:r>
        <w:rPr>
          <w:rFonts w:hint="eastAsia" w:ascii="宋体" w:hAnsi="宋体" w:eastAsia="宋体" w:cs="宋体"/>
          <w:b w:val="0"/>
          <w:bCs w:val="0"/>
          <w:kern w:val="2"/>
          <w:sz w:val="24"/>
          <w:szCs w:val="24"/>
          <w:highlight w:val="none"/>
          <w:lang w:val="en-US" w:eastAsia="zh-CN" w:bidi="ar-SA"/>
        </w:rPr>
        <w:t>发布至正式开标前，投标人如对</w:t>
      </w:r>
      <w:r>
        <w:rPr>
          <w:rFonts w:hint="eastAsia" w:ascii="宋体" w:hAnsi="宋体" w:cs="宋体"/>
          <w:b w:val="0"/>
          <w:bCs w:val="0"/>
          <w:kern w:val="2"/>
          <w:sz w:val="24"/>
          <w:szCs w:val="24"/>
          <w:highlight w:val="none"/>
          <w:lang w:val="en-US" w:eastAsia="zh-CN" w:bidi="ar-SA"/>
        </w:rPr>
        <w:t>采购文件</w:t>
      </w:r>
      <w:r>
        <w:rPr>
          <w:rFonts w:hint="eastAsia" w:ascii="宋体" w:hAnsi="宋体" w:eastAsia="宋体" w:cs="宋体"/>
          <w:b w:val="0"/>
          <w:bCs w:val="0"/>
          <w:kern w:val="2"/>
          <w:sz w:val="24"/>
          <w:szCs w:val="24"/>
          <w:highlight w:val="none"/>
          <w:lang w:val="en-US" w:eastAsia="zh-CN" w:bidi="ar-SA"/>
        </w:rPr>
        <w:t>有疑问，由</w:t>
      </w:r>
      <w:r>
        <w:rPr>
          <w:rFonts w:hint="eastAsia" w:ascii="宋体" w:hAnsi="宋体" w:cs="宋体"/>
          <w:b w:val="0"/>
          <w:bCs w:val="0"/>
          <w:kern w:val="2"/>
          <w:sz w:val="24"/>
          <w:szCs w:val="24"/>
          <w:highlight w:val="none"/>
          <w:lang w:val="en-US" w:eastAsia="zh-CN" w:bidi="ar-SA"/>
        </w:rPr>
        <w:t>采购代理机构</w:t>
      </w:r>
      <w:r>
        <w:rPr>
          <w:rFonts w:hint="eastAsia" w:ascii="宋体" w:hAnsi="宋体" w:eastAsia="宋体" w:cs="宋体"/>
          <w:b w:val="0"/>
          <w:bCs w:val="0"/>
          <w:kern w:val="2"/>
          <w:sz w:val="24"/>
          <w:szCs w:val="24"/>
          <w:highlight w:val="none"/>
          <w:lang w:val="en-US" w:eastAsia="zh-CN" w:bidi="ar-SA"/>
        </w:rPr>
        <w:t>统一接收并由相关人员解答后向所有潜在投标人答复，除参加招标方组织的答疑会或勘查活动外，禁止以任何其他方式与</w:t>
      </w:r>
      <w:r>
        <w:rPr>
          <w:rFonts w:hint="eastAsia" w:ascii="宋体" w:hAnsi="宋体" w:cs="宋体"/>
          <w:b w:val="0"/>
          <w:bCs w:val="0"/>
          <w:kern w:val="2"/>
          <w:sz w:val="24"/>
          <w:szCs w:val="24"/>
          <w:highlight w:val="none"/>
          <w:lang w:val="en-US" w:eastAsia="zh-CN" w:bidi="ar-SA"/>
        </w:rPr>
        <w:t>采购人</w:t>
      </w:r>
      <w:r>
        <w:rPr>
          <w:rFonts w:hint="eastAsia" w:ascii="宋体" w:hAnsi="宋体" w:eastAsia="宋体" w:cs="宋体"/>
          <w:b w:val="0"/>
          <w:bCs w:val="0"/>
          <w:kern w:val="2"/>
          <w:sz w:val="24"/>
          <w:szCs w:val="24"/>
          <w:highlight w:val="none"/>
          <w:lang w:val="en-US" w:eastAsia="zh-CN" w:bidi="ar-SA"/>
        </w:rPr>
        <w:t>沟通接触，否则将被取消投标资格。</w:t>
      </w:r>
    </w:p>
    <w:p>
      <w:pPr>
        <w:spacing w:line="440" w:lineRule="exac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11.解释权</w:t>
      </w:r>
    </w:p>
    <w:p>
      <w:pPr>
        <w:spacing w:line="440" w:lineRule="exac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1）本次招标的最终解释权归</w:t>
      </w:r>
      <w:r>
        <w:rPr>
          <w:rFonts w:hint="eastAsia" w:ascii="宋体" w:hAnsi="宋体" w:cs="宋体"/>
          <w:b w:val="0"/>
          <w:bCs w:val="0"/>
          <w:kern w:val="2"/>
          <w:sz w:val="24"/>
          <w:szCs w:val="24"/>
          <w:highlight w:val="none"/>
          <w:lang w:val="en-US" w:eastAsia="zh-CN" w:bidi="ar-SA"/>
        </w:rPr>
        <w:t>采购代理机构</w:t>
      </w:r>
      <w:r>
        <w:rPr>
          <w:rFonts w:hint="eastAsia" w:ascii="宋体" w:hAnsi="宋体" w:eastAsia="宋体" w:cs="宋体"/>
          <w:b w:val="0"/>
          <w:bCs w:val="0"/>
          <w:kern w:val="2"/>
          <w:sz w:val="24"/>
          <w:szCs w:val="24"/>
          <w:highlight w:val="none"/>
          <w:lang w:val="en-US" w:eastAsia="zh-CN" w:bidi="ar-SA"/>
        </w:rPr>
        <w:t>，当对一个问题有多种解释时以</w:t>
      </w:r>
      <w:r>
        <w:rPr>
          <w:rFonts w:hint="eastAsia" w:ascii="宋体" w:hAnsi="宋体" w:cs="宋体"/>
          <w:b w:val="0"/>
          <w:bCs w:val="0"/>
          <w:kern w:val="2"/>
          <w:sz w:val="24"/>
          <w:szCs w:val="24"/>
          <w:highlight w:val="none"/>
          <w:lang w:val="en-US" w:eastAsia="zh-CN" w:bidi="ar-SA"/>
        </w:rPr>
        <w:t>采购代理机构</w:t>
      </w:r>
      <w:r>
        <w:rPr>
          <w:rFonts w:hint="eastAsia" w:ascii="宋体" w:hAnsi="宋体" w:eastAsia="宋体" w:cs="宋体"/>
          <w:b w:val="0"/>
          <w:bCs w:val="0"/>
          <w:kern w:val="2"/>
          <w:sz w:val="24"/>
          <w:szCs w:val="24"/>
          <w:highlight w:val="none"/>
          <w:lang w:val="en-US" w:eastAsia="zh-CN" w:bidi="ar-SA"/>
        </w:rPr>
        <w:t>的书面解释为准。</w:t>
      </w:r>
    </w:p>
    <w:p>
      <w:pPr>
        <w:spacing w:line="440" w:lineRule="exac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w:t>
      </w:r>
      <w:r>
        <w:rPr>
          <w:rFonts w:hint="eastAsia" w:ascii="宋体" w:hAnsi="宋体" w:cs="宋体"/>
          <w:b w:val="0"/>
          <w:bCs w:val="0"/>
          <w:kern w:val="2"/>
          <w:sz w:val="24"/>
          <w:szCs w:val="24"/>
          <w:highlight w:val="none"/>
          <w:lang w:val="en-US" w:eastAsia="zh-CN" w:bidi="ar-SA"/>
        </w:rPr>
        <w:t>采购文件</w:t>
      </w:r>
      <w:r>
        <w:rPr>
          <w:rFonts w:hint="eastAsia" w:ascii="宋体" w:hAnsi="宋体" w:eastAsia="宋体" w:cs="宋体"/>
          <w:b w:val="0"/>
          <w:bCs w:val="0"/>
          <w:kern w:val="2"/>
          <w:sz w:val="24"/>
          <w:szCs w:val="24"/>
          <w:highlight w:val="none"/>
          <w:lang w:val="en-US" w:eastAsia="zh-CN" w:bidi="ar-SA"/>
        </w:rPr>
        <w:t>未做须知明示，而又有相关法律、法规规定的，</w:t>
      </w:r>
      <w:r>
        <w:rPr>
          <w:rFonts w:hint="eastAsia" w:ascii="宋体" w:hAnsi="宋体" w:cs="宋体"/>
          <w:b w:val="0"/>
          <w:bCs w:val="0"/>
          <w:kern w:val="2"/>
          <w:sz w:val="24"/>
          <w:szCs w:val="24"/>
          <w:highlight w:val="none"/>
          <w:lang w:val="en-US" w:eastAsia="zh-CN" w:bidi="ar-SA"/>
        </w:rPr>
        <w:t>采购代理机构</w:t>
      </w:r>
      <w:r>
        <w:rPr>
          <w:rFonts w:hint="eastAsia" w:ascii="宋体" w:hAnsi="宋体" w:eastAsia="宋体" w:cs="宋体"/>
          <w:b w:val="0"/>
          <w:bCs w:val="0"/>
          <w:kern w:val="2"/>
          <w:sz w:val="24"/>
          <w:szCs w:val="24"/>
          <w:highlight w:val="none"/>
          <w:lang w:val="en-US" w:eastAsia="zh-CN" w:bidi="ar-SA"/>
        </w:rPr>
        <w:t>对此所做解释以相关的法律、法规的规定为依据。</w:t>
      </w:r>
    </w:p>
    <w:p>
      <w:pPr>
        <w:numPr>
          <w:numId w:val="0"/>
        </w:num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三、投标文件的编制</w:t>
      </w:r>
    </w:p>
    <w:p>
      <w:pPr>
        <w:numPr>
          <w:numId w:val="0"/>
        </w:numPr>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12.投标文件的组成</w:t>
      </w:r>
    </w:p>
    <w:p>
      <w:pPr>
        <w:spacing w:line="440" w:lineRule="exac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 投标人编制的投标文件必须符合有关法律、法规的要求。投标人应仔细阅读</w:t>
      </w:r>
      <w:r>
        <w:rPr>
          <w:rFonts w:hint="eastAsia" w:ascii="宋体" w:hAnsi="宋体" w:cs="宋体"/>
          <w:b w:val="0"/>
          <w:bCs w:val="0"/>
          <w:kern w:val="2"/>
          <w:sz w:val="24"/>
          <w:szCs w:val="24"/>
          <w:highlight w:val="none"/>
          <w:lang w:val="en-US" w:eastAsia="zh-CN" w:bidi="ar-SA"/>
        </w:rPr>
        <w:t>采购</w:t>
      </w:r>
      <w:r>
        <w:rPr>
          <w:rFonts w:hint="eastAsia" w:ascii="宋体" w:hAnsi="宋体" w:eastAsia="宋体" w:cs="宋体"/>
          <w:b w:val="0"/>
          <w:bCs w:val="0"/>
          <w:kern w:val="2"/>
          <w:sz w:val="24"/>
          <w:szCs w:val="24"/>
          <w:highlight w:val="none"/>
          <w:lang w:val="en-US" w:eastAsia="zh-CN" w:bidi="ar-SA"/>
        </w:rPr>
        <w:t>文件的所有内容，按</w:t>
      </w:r>
      <w:r>
        <w:rPr>
          <w:rFonts w:hint="eastAsia" w:ascii="宋体" w:hAnsi="宋体" w:cs="宋体"/>
          <w:b w:val="0"/>
          <w:bCs w:val="0"/>
          <w:kern w:val="2"/>
          <w:sz w:val="24"/>
          <w:szCs w:val="24"/>
          <w:highlight w:val="none"/>
          <w:lang w:val="en-US" w:eastAsia="zh-CN" w:bidi="ar-SA"/>
        </w:rPr>
        <w:t>采购</w:t>
      </w:r>
      <w:r>
        <w:rPr>
          <w:rFonts w:hint="eastAsia" w:ascii="宋体" w:hAnsi="宋体" w:eastAsia="宋体" w:cs="宋体"/>
          <w:b w:val="0"/>
          <w:bCs w:val="0"/>
          <w:kern w:val="2"/>
          <w:sz w:val="24"/>
          <w:szCs w:val="24"/>
          <w:highlight w:val="none"/>
          <w:lang w:val="en-US" w:eastAsia="zh-CN" w:bidi="ar-SA"/>
        </w:rPr>
        <w:t>文件的要求提供投标文件，并保证所提供的全部资料的真实性、准确性及完整性，以使其投标对</w:t>
      </w:r>
      <w:r>
        <w:rPr>
          <w:rFonts w:hint="eastAsia" w:ascii="宋体" w:hAnsi="宋体" w:cs="宋体"/>
          <w:b w:val="0"/>
          <w:bCs w:val="0"/>
          <w:kern w:val="2"/>
          <w:sz w:val="24"/>
          <w:szCs w:val="24"/>
          <w:highlight w:val="none"/>
          <w:lang w:val="en-US" w:eastAsia="zh-CN" w:bidi="ar-SA"/>
        </w:rPr>
        <w:t>采购</w:t>
      </w:r>
      <w:r>
        <w:rPr>
          <w:rFonts w:hint="eastAsia" w:ascii="宋体" w:hAnsi="宋体" w:eastAsia="宋体" w:cs="宋体"/>
          <w:b w:val="0"/>
          <w:bCs w:val="0"/>
          <w:kern w:val="2"/>
          <w:sz w:val="24"/>
          <w:szCs w:val="24"/>
          <w:highlight w:val="none"/>
          <w:lang w:val="en-US" w:eastAsia="zh-CN" w:bidi="ar-SA"/>
        </w:rPr>
        <w:t>文件做出实质性响应。如投标人未能按</w:t>
      </w:r>
      <w:r>
        <w:rPr>
          <w:rFonts w:hint="eastAsia" w:ascii="宋体" w:hAnsi="宋体" w:cs="宋体"/>
          <w:b w:val="0"/>
          <w:bCs w:val="0"/>
          <w:kern w:val="2"/>
          <w:sz w:val="24"/>
          <w:szCs w:val="24"/>
          <w:highlight w:val="none"/>
          <w:lang w:val="en-US" w:eastAsia="zh-CN" w:bidi="ar-SA"/>
        </w:rPr>
        <w:t>采购</w:t>
      </w:r>
      <w:r>
        <w:rPr>
          <w:rFonts w:hint="eastAsia" w:ascii="宋体" w:hAnsi="宋体" w:eastAsia="宋体" w:cs="宋体"/>
          <w:b w:val="0"/>
          <w:bCs w:val="0"/>
          <w:kern w:val="2"/>
          <w:sz w:val="24"/>
          <w:szCs w:val="24"/>
          <w:highlight w:val="none"/>
          <w:lang w:val="en-US" w:eastAsia="zh-CN" w:bidi="ar-SA"/>
        </w:rPr>
        <w:t>文件要求提交全部资料，或没有按照</w:t>
      </w:r>
      <w:r>
        <w:rPr>
          <w:rFonts w:hint="eastAsia" w:ascii="宋体" w:hAnsi="宋体" w:cs="宋体"/>
          <w:b w:val="0"/>
          <w:bCs w:val="0"/>
          <w:kern w:val="2"/>
          <w:sz w:val="24"/>
          <w:szCs w:val="24"/>
          <w:highlight w:val="none"/>
          <w:lang w:val="en-US" w:eastAsia="zh-CN" w:bidi="ar-SA"/>
        </w:rPr>
        <w:t>采购</w:t>
      </w:r>
      <w:r>
        <w:rPr>
          <w:rFonts w:hint="eastAsia" w:ascii="宋体" w:hAnsi="宋体" w:eastAsia="宋体" w:cs="宋体"/>
          <w:b w:val="0"/>
          <w:bCs w:val="0"/>
          <w:kern w:val="2"/>
          <w:sz w:val="24"/>
          <w:szCs w:val="24"/>
          <w:highlight w:val="none"/>
          <w:lang w:val="en-US" w:eastAsia="zh-CN" w:bidi="ar-SA"/>
        </w:rPr>
        <w:t>文件要求做出实质性响应，评标委员会有权取消其中标资格。</w:t>
      </w:r>
    </w:p>
    <w:p>
      <w:pPr>
        <w:spacing w:line="440" w:lineRule="exac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 投标文件由商务标书和技术标书两部分组成。</w:t>
      </w:r>
    </w:p>
    <w:p>
      <w:pPr>
        <w:spacing w:line="440" w:lineRule="exac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3）商务标书：</w:t>
      </w:r>
    </w:p>
    <w:p>
      <w:pPr>
        <w:spacing w:line="44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a）商务标书目录；</w:t>
      </w:r>
    </w:p>
    <w:p>
      <w:pPr>
        <w:spacing w:line="44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b）投标函（格式附件1）</w:t>
      </w:r>
    </w:p>
    <w:p>
      <w:pPr>
        <w:spacing w:line="44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c）法定代表人授权委托书（格式见附件2；法定代表人参加本项目的投标时，无需填写法定代表人授权委托书，但须在投标文件中附法定代表人的身份证复印件）；</w:t>
      </w:r>
    </w:p>
    <w:p>
      <w:pPr>
        <w:spacing w:line="44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d）公开报价一览表（格式见附件3，投标报价时应按</w:t>
      </w:r>
      <w:r>
        <w:rPr>
          <w:rFonts w:hint="eastAsia" w:ascii="宋体" w:hAnsi="宋体" w:cs="宋体"/>
          <w:b w:val="0"/>
          <w:bCs w:val="0"/>
          <w:color w:val="auto"/>
          <w:kern w:val="2"/>
          <w:sz w:val="24"/>
          <w:szCs w:val="24"/>
          <w:highlight w:val="none"/>
          <w:lang w:val="en-US" w:eastAsia="zh-CN" w:bidi="ar-SA"/>
        </w:rPr>
        <w:t>采购</w:t>
      </w:r>
      <w:r>
        <w:rPr>
          <w:rFonts w:hint="eastAsia" w:ascii="宋体" w:hAnsi="宋体" w:eastAsia="宋体" w:cs="宋体"/>
          <w:b w:val="0"/>
          <w:bCs w:val="0"/>
          <w:color w:val="auto"/>
          <w:kern w:val="2"/>
          <w:sz w:val="24"/>
          <w:szCs w:val="24"/>
          <w:highlight w:val="none"/>
          <w:lang w:val="en-US" w:eastAsia="zh-CN" w:bidi="ar-SA"/>
        </w:rPr>
        <w:t>清单内容报价，投标单位须就所有内容编制投标，并列出明细，不得漏项，投标总价为各分项报价的总和）；</w:t>
      </w:r>
    </w:p>
    <w:p>
      <w:pPr>
        <w:spacing w:line="44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e）投标人基本情况表（格式见附件4）</w:t>
      </w:r>
    </w:p>
    <w:p>
      <w:pPr>
        <w:spacing w:line="44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f）商务条款偏离表（格式见附件5）</w:t>
      </w:r>
    </w:p>
    <w:p>
      <w:pPr>
        <w:spacing w:line="44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g）资格资质等证明材料；</w:t>
      </w:r>
    </w:p>
    <w:p>
      <w:pPr>
        <w:spacing w:line="440" w:lineRule="exac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 xml:space="preserve">    营业执照副本、组织机构代码证副本、税务登记证副本</w:t>
      </w:r>
      <w:r>
        <w:rPr>
          <w:rFonts w:hint="eastAsia" w:ascii="宋体" w:hAnsi="宋体" w:cs="宋体"/>
          <w:b w:val="0"/>
          <w:bCs w:val="0"/>
          <w:kern w:val="2"/>
          <w:sz w:val="24"/>
          <w:szCs w:val="24"/>
          <w:highlight w:val="none"/>
          <w:lang w:val="zh-CN" w:eastAsia="zh-CN" w:bidi="ar-SA"/>
        </w:rPr>
        <w:t>（</w:t>
      </w:r>
      <w:r>
        <w:rPr>
          <w:rFonts w:hint="eastAsia" w:ascii="宋体" w:hAnsi="宋体" w:eastAsia="宋体" w:cs="宋体"/>
          <w:b w:val="0"/>
          <w:bCs w:val="0"/>
          <w:kern w:val="2"/>
          <w:sz w:val="24"/>
          <w:szCs w:val="24"/>
          <w:highlight w:val="none"/>
          <w:lang w:val="zh-CN" w:eastAsia="zh-CN" w:bidi="ar-SA"/>
        </w:rPr>
        <w:t>公司基本账户开户许可证</w:t>
      </w:r>
      <w:r>
        <w:rPr>
          <w:rFonts w:hint="eastAsia" w:ascii="宋体" w:hAnsi="宋体" w:eastAsia="宋体" w:cs="宋体"/>
          <w:b w:val="0"/>
          <w:bCs w:val="0"/>
          <w:kern w:val="2"/>
          <w:sz w:val="24"/>
          <w:szCs w:val="24"/>
          <w:highlight w:val="none"/>
          <w:lang w:val="en-US" w:eastAsia="zh-CN" w:bidi="ar-SA"/>
        </w:rPr>
        <w:t>三证合一换证的只需提供营业执照副本复印件）；</w:t>
      </w:r>
    </w:p>
    <w:p>
      <w:pPr>
        <w:spacing w:line="440" w:lineRule="exact"/>
        <w:ind w:firstLine="48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项目说明部分及评分办法要求的证明材料；</w:t>
      </w:r>
    </w:p>
    <w:p>
      <w:pPr>
        <w:spacing w:line="440" w:lineRule="exact"/>
        <w:ind w:firstLine="48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其他文件和资料；</w:t>
      </w:r>
    </w:p>
    <w:p>
      <w:pPr>
        <w:spacing w:line="440" w:lineRule="exac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h)临沂市政府采购供应商反商业贿赂承诺书（格式见附件9）；</w:t>
      </w:r>
    </w:p>
    <w:p>
      <w:pPr>
        <w:spacing w:line="440" w:lineRule="exac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i)退还投标保证金信息（格式见附件10）；</w:t>
      </w:r>
    </w:p>
    <w:p>
      <w:pPr>
        <w:spacing w:line="440" w:lineRule="exac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j)投标人认为需要提交的其他相关证明文件。</w:t>
      </w:r>
    </w:p>
    <w:p>
      <w:pPr>
        <w:spacing w:line="440" w:lineRule="exac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4)技术标书</w:t>
      </w:r>
    </w:p>
    <w:p>
      <w:pPr>
        <w:spacing w:line="440" w:lineRule="exac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a)技术标书目录；</w:t>
      </w:r>
    </w:p>
    <w:p>
      <w:pPr>
        <w:spacing w:line="440" w:lineRule="exac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b)技术条款偏离表（格式见附件7）；</w:t>
      </w:r>
    </w:p>
    <w:p>
      <w:pPr>
        <w:spacing w:line="440" w:lineRule="exac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c)实施方案，包括：</w:t>
      </w:r>
    </w:p>
    <w:p>
      <w:pPr>
        <w:spacing w:line="440" w:lineRule="exac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 xml:space="preserve">   货物主要技术指标和运行性能的详细描述（对开标一览表的补充说明，如开标一览表中填写信息详细完善，可不再单独提供）；</w:t>
      </w:r>
    </w:p>
    <w:p>
      <w:pPr>
        <w:spacing w:line="440" w:lineRule="exact"/>
        <w:ind w:firstLine="48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报价货物选配件；</w:t>
      </w:r>
    </w:p>
    <w:p>
      <w:pPr>
        <w:spacing w:line="440" w:lineRule="exact"/>
        <w:ind w:firstLine="48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货物安装、验收标准；</w:t>
      </w:r>
    </w:p>
    <w:p>
      <w:pPr>
        <w:spacing w:line="440" w:lineRule="exact"/>
        <w:ind w:firstLine="48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同投标货物型号一致的产品手册、彩页、说明书等技术文件；</w:t>
      </w:r>
    </w:p>
    <w:p>
      <w:pPr>
        <w:spacing w:line="440" w:lineRule="exact"/>
        <w:ind w:firstLine="48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投标货物售后服务（投标货物的保修期、技术支持和售后服务的程序、内容及措施）；</w:t>
      </w:r>
    </w:p>
    <w:p>
      <w:pPr>
        <w:spacing w:line="440" w:lineRule="exact"/>
        <w:ind w:firstLine="48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产品安装调试及培训计划、内容；</w:t>
      </w:r>
    </w:p>
    <w:p>
      <w:pPr>
        <w:spacing w:line="440" w:lineRule="exact"/>
        <w:ind w:firstLine="48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售后服务网点明细表。售后服务方案：保修期、技术支持方案、故障应急方案、故障处理流程内容及措施；</w:t>
      </w:r>
    </w:p>
    <w:p>
      <w:pPr>
        <w:spacing w:line="440" w:lineRule="exac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d)投标人认为需加以说明的其他内容（如对</w:t>
      </w:r>
      <w:r>
        <w:rPr>
          <w:rFonts w:hint="eastAsia" w:ascii="宋体" w:hAnsi="宋体" w:cs="宋体"/>
          <w:b w:val="0"/>
          <w:bCs w:val="0"/>
          <w:kern w:val="2"/>
          <w:sz w:val="24"/>
          <w:szCs w:val="24"/>
          <w:highlight w:val="none"/>
          <w:lang w:val="en-US" w:eastAsia="zh-CN" w:bidi="ar-SA"/>
        </w:rPr>
        <w:t>采购文件</w:t>
      </w:r>
      <w:r>
        <w:rPr>
          <w:rFonts w:hint="eastAsia" w:ascii="宋体" w:hAnsi="宋体" w:eastAsia="宋体" w:cs="宋体"/>
          <w:b w:val="0"/>
          <w:bCs w:val="0"/>
          <w:kern w:val="2"/>
          <w:sz w:val="24"/>
          <w:szCs w:val="24"/>
          <w:highlight w:val="none"/>
          <w:lang w:val="en-US" w:eastAsia="zh-CN" w:bidi="ar-SA"/>
        </w:rPr>
        <w:t>中所提出服务内容和有关要求的承诺、投标人优势分析、保证产品质量的措施等）；</w:t>
      </w:r>
    </w:p>
    <w:p>
      <w:pPr>
        <w:numPr>
          <w:ilvl w:val="0"/>
          <w:numId w:val="10"/>
        </w:numPr>
        <w:spacing w:line="440" w:lineRule="exac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唱标密封袋</w:t>
      </w:r>
    </w:p>
    <w:p>
      <w:pPr>
        <w:numPr>
          <w:numId w:val="0"/>
        </w:numPr>
        <w:spacing w:line="44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 xml:space="preserve">   为方便唱标，请投标人另外准备一式三份《公开报价一览表》，用密封袋单独密封，在封面标明“唱标密封袋”，封口处加盖投标人单位公章或投标人全权代表签字。唱标密封袋与投标文件同时分别递交。</w:t>
      </w:r>
    </w:p>
    <w:p>
      <w:pPr>
        <w:numPr>
          <w:ilvl w:val="0"/>
          <w:numId w:val="11"/>
        </w:numPr>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投标文件格式</w:t>
      </w:r>
    </w:p>
    <w:p>
      <w:pPr>
        <w:spacing w:line="440" w:lineRule="exact"/>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1）</w:t>
      </w:r>
      <w:r>
        <w:rPr>
          <w:rFonts w:hint="eastAsia" w:ascii="宋体" w:hAnsi="宋体" w:eastAsia="宋体" w:cs="宋体"/>
          <w:b w:val="0"/>
          <w:bCs w:val="0"/>
          <w:kern w:val="2"/>
          <w:sz w:val="24"/>
          <w:szCs w:val="24"/>
          <w:highlight w:val="none"/>
          <w:lang w:val="en-US" w:eastAsia="zh-CN" w:bidi="ar-SA"/>
        </w:rPr>
        <w:t>投标文件包括本须知第12条中规定的内容，投标人提交的投标文件应当使用</w:t>
      </w:r>
      <w:r>
        <w:rPr>
          <w:rFonts w:hint="eastAsia" w:ascii="宋体" w:hAnsi="宋体" w:cs="宋体"/>
          <w:b w:val="0"/>
          <w:bCs w:val="0"/>
          <w:kern w:val="2"/>
          <w:sz w:val="24"/>
          <w:szCs w:val="24"/>
          <w:highlight w:val="none"/>
          <w:lang w:val="en-US" w:eastAsia="zh-CN" w:bidi="ar-SA"/>
        </w:rPr>
        <w:t>采购文件</w:t>
      </w:r>
      <w:r>
        <w:rPr>
          <w:rFonts w:hint="eastAsia" w:ascii="宋体" w:hAnsi="宋体" w:eastAsia="宋体" w:cs="宋体"/>
          <w:b w:val="0"/>
          <w:bCs w:val="0"/>
          <w:kern w:val="2"/>
          <w:sz w:val="24"/>
          <w:szCs w:val="24"/>
          <w:highlight w:val="none"/>
          <w:lang w:val="en-US" w:eastAsia="zh-CN" w:bidi="ar-SA"/>
        </w:rPr>
        <w:t>所提供的投标文件全部格式（可以相同格式扩展另行编写，但不得删减内容或本须知第12条的内容相悖）。</w:t>
      </w:r>
    </w:p>
    <w:p>
      <w:pPr>
        <w:numPr>
          <w:ilvl w:val="0"/>
          <w:numId w:val="12"/>
        </w:numPr>
        <w:jc w:val="both"/>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投标报价说明</w:t>
      </w:r>
    </w:p>
    <w:p>
      <w:pPr>
        <w:spacing w:line="44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1）本项目为交钥匙工程，投标单位应根据</w:t>
      </w:r>
      <w:r>
        <w:rPr>
          <w:rFonts w:hint="eastAsia" w:ascii="宋体" w:hAnsi="宋体" w:cs="宋体"/>
          <w:b w:val="0"/>
          <w:bCs w:val="0"/>
          <w:color w:val="auto"/>
          <w:kern w:val="2"/>
          <w:sz w:val="24"/>
          <w:szCs w:val="24"/>
          <w:highlight w:val="none"/>
          <w:lang w:val="en-US" w:eastAsia="zh-CN" w:bidi="ar-SA"/>
        </w:rPr>
        <w:t>采购代理机构</w:t>
      </w:r>
      <w:r>
        <w:rPr>
          <w:rFonts w:hint="eastAsia" w:ascii="宋体" w:hAnsi="宋体" w:eastAsia="宋体" w:cs="宋体"/>
          <w:b w:val="0"/>
          <w:bCs w:val="0"/>
          <w:color w:val="auto"/>
          <w:kern w:val="2"/>
          <w:sz w:val="24"/>
          <w:szCs w:val="24"/>
          <w:highlight w:val="none"/>
          <w:lang w:val="en-US" w:eastAsia="zh-CN" w:bidi="ar-SA"/>
        </w:rPr>
        <w:t>提供的</w:t>
      </w:r>
      <w:r>
        <w:rPr>
          <w:rFonts w:hint="eastAsia" w:ascii="宋体" w:hAnsi="宋体" w:cs="宋体"/>
          <w:b w:val="0"/>
          <w:bCs w:val="0"/>
          <w:color w:val="auto"/>
          <w:kern w:val="2"/>
          <w:sz w:val="24"/>
          <w:szCs w:val="24"/>
          <w:highlight w:val="none"/>
          <w:lang w:val="en-US" w:eastAsia="zh-CN" w:bidi="ar-SA"/>
        </w:rPr>
        <w:t>采购文件</w:t>
      </w:r>
      <w:r>
        <w:rPr>
          <w:rFonts w:hint="eastAsia" w:ascii="宋体" w:hAnsi="宋体" w:eastAsia="宋体" w:cs="宋体"/>
          <w:b w:val="0"/>
          <w:bCs w:val="0"/>
          <w:color w:val="auto"/>
          <w:kern w:val="2"/>
          <w:sz w:val="24"/>
          <w:szCs w:val="24"/>
          <w:highlight w:val="none"/>
          <w:lang w:val="en-US" w:eastAsia="zh-CN" w:bidi="ar-SA"/>
        </w:rPr>
        <w:t>、各自情况等进行投标文件的编制，投标应包括招标范围内的全部内容，含货物（包括质保期内的备品备件、易损件、专用工具</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产品随机附带的辅助设备及实现检测所需必要配件等）的设计、制造、包装、保险、运输、安装、调试、验收、培训、售后服务及技术支持等相关服务的所有费用。投标总报价应一次性报定</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投标单位应充分考虑本项目合同实施期间可能发生的一切费用，并承担由此而带来的风险。凡投标单位在投标中未列明但又为本次招标所必备的项目或遗漏项目，</w:t>
      </w:r>
      <w:r>
        <w:rPr>
          <w:rFonts w:hint="eastAsia" w:ascii="宋体" w:hAnsi="宋体" w:cs="宋体"/>
          <w:b w:val="0"/>
          <w:bCs w:val="0"/>
          <w:color w:val="auto"/>
          <w:kern w:val="2"/>
          <w:sz w:val="24"/>
          <w:szCs w:val="24"/>
          <w:highlight w:val="none"/>
          <w:lang w:val="en-US" w:eastAsia="zh-CN" w:bidi="ar-SA"/>
        </w:rPr>
        <w:t>采购人</w:t>
      </w:r>
      <w:r>
        <w:rPr>
          <w:rFonts w:hint="eastAsia" w:ascii="宋体" w:hAnsi="宋体" w:eastAsia="宋体" w:cs="宋体"/>
          <w:b w:val="0"/>
          <w:bCs w:val="0"/>
          <w:color w:val="auto"/>
          <w:kern w:val="2"/>
          <w:sz w:val="24"/>
          <w:szCs w:val="24"/>
          <w:highlight w:val="none"/>
          <w:lang w:val="en-US" w:eastAsia="zh-CN" w:bidi="ar-SA"/>
        </w:rPr>
        <w:t>将一律视为已包括在其投标中，在合同执行中将不予考虑。投标总价即为交付使用的价格</w:t>
      </w:r>
      <w:r>
        <w:rPr>
          <w:rFonts w:hint="eastAsia" w:ascii="宋体" w:hAnsi="宋体" w:cs="宋体"/>
          <w:b w:val="0"/>
          <w:bCs w:val="0"/>
          <w:color w:val="auto"/>
          <w:kern w:val="2"/>
          <w:sz w:val="24"/>
          <w:szCs w:val="24"/>
          <w:highlight w:val="none"/>
          <w:lang w:val="en-US" w:eastAsia="zh-CN" w:bidi="ar-SA"/>
        </w:rPr>
        <w:t>。</w:t>
      </w:r>
    </w:p>
    <w:p>
      <w:pPr>
        <w:spacing w:line="440" w:lineRule="exact"/>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2）</w:t>
      </w:r>
      <w:r>
        <w:rPr>
          <w:rFonts w:hint="eastAsia" w:ascii="宋体" w:hAnsi="宋体" w:eastAsia="宋体" w:cs="宋体"/>
          <w:b w:val="0"/>
          <w:bCs w:val="0"/>
          <w:kern w:val="2"/>
          <w:sz w:val="24"/>
          <w:szCs w:val="24"/>
          <w:highlight w:val="none"/>
          <w:lang w:val="en-US" w:eastAsia="zh-CN" w:bidi="ar-SA"/>
        </w:rPr>
        <w:t>本次招标只允许各投标单位报一种方案。公开开标时，如果投标文件中的《</w:t>
      </w:r>
      <w:r>
        <w:rPr>
          <w:rFonts w:hint="eastAsia" w:ascii="宋体" w:hAnsi="宋体" w:cs="宋体"/>
          <w:b w:val="0"/>
          <w:bCs w:val="0"/>
          <w:kern w:val="2"/>
          <w:sz w:val="24"/>
          <w:szCs w:val="24"/>
          <w:highlight w:val="none"/>
          <w:lang w:val="en-US" w:eastAsia="zh-CN" w:bidi="ar-SA"/>
        </w:rPr>
        <w:t>公开报价一览表</w:t>
      </w:r>
      <w:r>
        <w:rPr>
          <w:rFonts w:hint="eastAsia" w:ascii="宋体" w:hAnsi="宋体" w:eastAsia="宋体" w:cs="宋体"/>
          <w:b w:val="0"/>
          <w:bCs w:val="0"/>
          <w:kern w:val="2"/>
          <w:sz w:val="24"/>
          <w:szCs w:val="24"/>
          <w:highlight w:val="none"/>
          <w:lang w:val="en-US" w:eastAsia="zh-CN" w:bidi="ar-SA"/>
        </w:rPr>
        <w:t>》内容与投标文件中明细表内容不一致的，以《</w:t>
      </w:r>
      <w:r>
        <w:rPr>
          <w:rFonts w:hint="eastAsia" w:ascii="宋体" w:hAnsi="宋体" w:cs="宋体"/>
          <w:b w:val="0"/>
          <w:bCs w:val="0"/>
          <w:kern w:val="2"/>
          <w:sz w:val="24"/>
          <w:szCs w:val="24"/>
          <w:highlight w:val="none"/>
          <w:lang w:val="en-US" w:eastAsia="zh-CN" w:bidi="ar-SA"/>
        </w:rPr>
        <w:t>公开报价一览表</w:t>
      </w:r>
      <w:r>
        <w:rPr>
          <w:rFonts w:hint="eastAsia" w:ascii="宋体" w:hAnsi="宋体" w:eastAsia="宋体" w:cs="宋体"/>
          <w:b w:val="0"/>
          <w:bCs w:val="0"/>
          <w:kern w:val="2"/>
          <w:sz w:val="24"/>
          <w:szCs w:val="24"/>
          <w:highlight w:val="none"/>
          <w:lang w:val="en-US" w:eastAsia="zh-CN" w:bidi="ar-SA"/>
        </w:rPr>
        <w:t>》为准；唱标密封袋内《</w:t>
      </w:r>
      <w:r>
        <w:rPr>
          <w:rFonts w:hint="eastAsia" w:ascii="宋体" w:hAnsi="宋体" w:cs="宋体"/>
          <w:b w:val="0"/>
          <w:bCs w:val="0"/>
          <w:kern w:val="2"/>
          <w:sz w:val="24"/>
          <w:szCs w:val="24"/>
          <w:highlight w:val="none"/>
          <w:lang w:val="en-US" w:eastAsia="zh-CN" w:bidi="ar-SA"/>
        </w:rPr>
        <w:t>公开报价一览表</w:t>
      </w:r>
      <w:r>
        <w:rPr>
          <w:rFonts w:hint="eastAsia" w:ascii="宋体" w:hAnsi="宋体" w:eastAsia="宋体" w:cs="宋体"/>
          <w:b w:val="0"/>
          <w:bCs w:val="0"/>
          <w:kern w:val="2"/>
          <w:sz w:val="24"/>
          <w:szCs w:val="24"/>
          <w:highlight w:val="none"/>
          <w:lang w:val="en-US" w:eastAsia="zh-CN" w:bidi="ar-SA"/>
        </w:rPr>
        <w:t>》与正本不一致的，以投标文件正本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440" w:lineRule="exact"/>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3）</w:t>
      </w:r>
      <w:r>
        <w:rPr>
          <w:rFonts w:hint="eastAsia" w:ascii="宋体" w:hAnsi="宋体" w:eastAsia="宋体" w:cs="宋体"/>
          <w:b w:val="0"/>
          <w:bCs w:val="0"/>
          <w:kern w:val="2"/>
          <w:sz w:val="24"/>
          <w:szCs w:val="24"/>
          <w:highlight w:val="none"/>
          <w:lang w:val="en-US" w:eastAsia="zh-CN" w:bidi="ar-SA"/>
        </w:rPr>
        <w:t>在评标过程中，评标委员会发现投标单位的投标或个别单价明显高于或低于其他投标的，应当要求该</w:t>
      </w:r>
      <w:r>
        <w:rPr>
          <w:rFonts w:hint="eastAsia" w:ascii="宋体" w:hAnsi="宋体" w:cs="宋体"/>
          <w:b w:val="0"/>
          <w:bCs w:val="0"/>
          <w:kern w:val="2"/>
          <w:sz w:val="24"/>
          <w:szCs w:val="24"/>
          <w:highlight w:val="none"/>
          <w:lang w:val="en-US" w:eastAsia="zh-CN" w:bidi="ar-SA"/>
        </w:rPr>
        <w:t>投标人</w:t>
      </w:r>
      <w:r>
        <w:rPr>
          <w:rFonts w:hint="eastAsia" w:ascii="宋体" w:hAnsi="宋体" w:eastAsia="宋体" w:cs="宋体"/>
          <w:b w:val="0"/>
          <w:bCs w:val="0"/>
          <w:kern w:val="2"/>
          <w:sz w:val="24"/>
          <w:szCs w:val="24"/>
          <w:highlight w:val="none"/>
          <w:lang w:val="en-US" w:eastAsia="zh-CN" w:bidi="ar-SA"/>
        </w:rPr>
        <w:t>做出说明，其说明投标高或低的理由是否合理，须经评标委员会2/3以上（含2/3）的成员认定；否则，评标委员会有权据此对其做出无效投标的处理。</w:t>
      </w:r>
    </w:p>
    <w:p>
      <w:pPr>
        <w:spacing w:line="440" w:lineRule="exact"/>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4）</w:t>
      </w:r>
      <w:r>
        <w:rPr>
          <w:rFonts w:hint="eastAsia" w:ascii="宋体" w:hAnsi="宋体" w:eastAsia="宋体" w:cs="宋体"/>
          <w:b w:val="0"/>
          <w:bCs w:val="0"/>
          <w:kern w:val="2"/>
          <w:sz w:val="24"/>
          <w:szCs w:val="24"/>
          <w:highlight w:val="none"/>
          <w:lang w:val="en-US" w:eastAsia="zh-CN" w:bidi="ar-SA"/>
        </w:rPr>
        <w:t>投标单位所投产品主要性能参数应当符合</w:t>
      </w:r>
      <w:r>
        <w:rPr>
          <w:rFonts w:hint="eastAsia" w:ascii="宋体" w:hAnsi="宋体" w:cs="宋体"/>
          <w:b w:val="0"/>
          <w:bCs w:val="0"/>
          <w:kern w:val="2"/>
          <w:sz w:val="24"/>
          <w:szCs w:val="24"/>
          <w:highlight w:val="none"/>
          <w:lang w:val="en-US" w:eastAsia="zh-CN" w:bidi="ar-SA"/>
        </w:rPr>
        <w:t>采购文件</w:t>
      </w:r>
      <w:r>
        <w:rPr>
          <w:rFonts w:hint="eastAsia" w:ascii="宋体" w:hAnsi="宋体" w:eastAsia="宋体" w:cs="宋体"/>
          <w:b w:val="0"/>
          <w:bCs w:val="0"/>
          <w:kern w:val="2"/>
          <w:sz w:val="24"/>
          <w:szCs w:val="24"/>
          <w:highlight w:val="none"/>
          <w:lang w:val="en-US" w:eastAsia="zh-CN" w:bidi="ar-SA"/>
        </w:rPr>
        <w:t>第三章所列设备技术要求中的主要性能参数，凡投标单位所投产品主要性能参数偏离过多的，按废标处理。</w:t>
      </w:r>
    </w:p>
    <w:p>
      <w:pPr>
        <w:spacing w:line="440" w:lineRule="exact"/>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5）</w:t>
      </w:r>
      <w:r>
        <w:rPr>
          <w:rFonts w:hint="eastAsia" w:ascii="宋体" w:hAnsi="宋体" w:eastAsia="宋体" w:cs="宋体"/>
          <w:b w:val="0"/>
          <w:bCs w:val="0"/>
          <w:kern w:val="2"/>
          <w:sz w:val="24"/>
          <w:szCs w:val="24"/>
          <w:highlight w:val="none"/>
          <w:lang w:val="en-US" w:eastAsia="zh-CN" w:bidi="ar-SA"/>
        </w:rPr>
        <w:t>投标单位所投产品一般参数偏离的范围不允许过大，偏离的项数不允许过多，凡投标单位所投产品一般参数偏离的范围过大，偏离的项数过多的，按废标处理。</w:t>
      </w:r>
    </w:p>
    <w:p>
      <w:pPr>
        <w:spacing w:line="440" w:lineRule="exact"/>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6）</w:t>
      </w:r>
      <w:r>
        <w:rPr>
          <w:rFonts w:hint="eastAsia" w:ascii="宋体" w:hAnsi="宋体" w:eastAsia="宋体" w:cs="宋体"/>
          <w:b w:val="0"/>
          <w:bCs w:val="0"/>
          <w:kern w:val="2"/>
          <w:sz w:val="24"/>
          <w:szCs w:val="24"/>
          <w:highlight w:val="none"/>
          <w:lang w:val="en-US" w:eastAsia="zh-CN" w:bidi="ar-SA"/>
        </w:rPr>
        <w:t>如果需要，产品主要性能参数与一般参数的界定由评标委员会在评标现场确定。</w:t>
      </w:r>
    </w:p>
    <w:p>
      <w:pPr>
        <w:spacing w:line="440" w:lineRule="exact"/>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7）</w:t>
      </w:r>
      <w:r>
        <w:rPr>
          <w:rFonts w:hint="eastAsia" w:ascii="宋体" w:hAnsi="宋体" w:eastAsia="宋体" w:cs="宋体"/>
          <w:b w:val="0"/>
          <w:bCs w:val="0"/>
          <w:kern w:val="2"/>
          <w:sz w:val="24"/>
          <w:szCs w:val="24"/>
          <w:highlight w:val="none"/>
          <w:lang w:val="en-US" w:eastAsia="zh-CN" w:bidi="ar-SA"/>
        </w:rPr>
        <w:t>如果需要，产品主要性能参数、一般参数超出允许偏离的最大范围由评标委员会在评标现场确定，产品一般参数超出允许偏离的最高项数由评标委员会在评标现场确定。</w:t>
      </w:r>
    </w:p>
    <w:p>
      <w:pPr>
        <w:numPr>
          <w:numId w:val="0"/>
        </w:numPr>
        <w:jc w:val="both"/>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15.投标文件制作说明</w:t>
      </w:r>
    </w:p>
    <w:p>
      <w:pPr>
        <w:spacing w:line="44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1）投标人应按照本须知第12.1款的要求，准备一式九份投标文件（一份正本、五份副本），每份投标文件须清楚地标明“正本”或“副本”字样。一旦正本和副本不符，以正本为准。</w:t>
      </w:r>
    </w:p>
    <w:p>
      <w:pPr>
        <w:spacing w:line="44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2）投标文件的正本和所有副本均需打印或复印，在采购文件要求签字的地方均由投标人法定代表人或其授权委托代表签字。</w:t>
      </w:r>
    </w:p>
    <w:p>
      <w:pPr>
        <w:spacing w:line="44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3）投标文件应字迹清楚、内容齐全、不得涂改或增删。如有修改或增删，必须有投标人公章及法定代表人或其授权代理人签字。</w:t>
      </w:r>
    </w:p>
    <w:p>
      <w:pPr>
        <w:spacing w:line="44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4）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披露的事项，一旦评审中被发现存在偏离或被认定为属于偏离，则评标委员会有权视具体情形评分时予以处理，乃至对该投标予以拒绝。</w:t>
      </w:r>
    </w:p>
    <w:p>
      <w:pPr>
        <w:spacing w:line="44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5）按照采购文件“投标文件的组成”中规定的顺序统一编制目录装订成册。由于编排混乱导致投标文件被误读或查找不到，其责任由投标人承担。装订不得采用活页装订，否则，投标将被拒绝。</w:t>
      </w:r>
    </w:p>
    <w:p>
      <w:pPr>
        <w:numPr>
          <w:numId w:val="0"/>
        </w:num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四、投标文件的递交</w:t>
      </w:r>
    </w:p>
    <w:p>
      <w:pPr>
        <w:numPr>
          <w:numId w:val="0"/>
        </w:numPr>
        <w:jc w:val="both"/>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16.投标文件的密封和标记</w:t>
      </w:r>
    </w:p>
    <w:p>
      <w:pPr>
        <w:spacing w:line="44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1）投标人应将投标文件正本和所有副本用密封袋密封，并在封口启封处加盖投标人单位公章或法定代表人/授权代表签署。</w:t>
      </w:r>
    </w:p>
    <w:p>
      <w:pPr>
        <w:spacing w:line="44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2）密封袋上应注明招标项目名称、项目编号及“请勿在   年 月 日  时之前启封”字样。</w:t>
      </w:r>
    </w:p>
    <w:p>
      <w:pPr>
        <w:spacing w:line="44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密封袋上除写明本须知第16.2）款所要求的识别字样外，还应写明投标人名称、地址和邮政编码，以便本须知第19条情况发生时，采购代理机构可按密封袋上标明的投标人地址将投标文件原封退回。</w:t>
      </w:r>
    </w:p>
    <w:p>
      <w:pPr>
        <w:spacing w:line="44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如果投标文件未按本须知第16.1）款、16.2）款要求装订和加写标记及密封，采购代理机构对误投或过早启封概不负责。对由此造成提前开封的投标文件，采购代理机构有权予以拒绝，并退回投标人。</w:t>
      </w:r>
    </w:p>
    <w:p>
      <w:pPr>
        <w:numPr>
          <w:numId w:val="0"/>
        </w:numPr>
        <w:jc w:val="both"/>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17.投标文件的提交</w:t>
      </w:r>
    </w:p>
    <w:p>
      <w:pPr>
        <w:widowControl w:val="0"/>
        <w:numPr>
          <w:ilvl w:val="0"/>
          <w:numId w:val="13"/>
        </w:numPr>
        <w:wordWrap/>
        <w:adjustRightInd/>
        <w:snapToGrid/>
        <w:spacing w:line="360" w:lineRule="auto"/>
        <w:ind w:left="0" w:leftChars="0" w:right="0" w:firstLine="0" w:firstLineChars="0"/>
        <w:jc w:val="both"/>
        <w:textAlignment w:val="auto"/>
        <w:outlineLvl w:val="9"/>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投标文件应按采购文件第一章《招标公告》中规定的地点，于投标截止时间提交投标文件。</w:t>
      </w:r>
    </w:p>
    <w:p>
      <w:pPr>
        <w:numPr>
          <w:numId w:val="0"/>
        </w:numPr>
        <w:jc w:val="both"/>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18.投标截止时间</w:t>
      </w:r>
    </w:p>
    <w:p>
      <w:pPr>
        <w:widowControl w:val="0"/>
        <w:numPr>
          <w:ilvl w:val="0"/>
          <w:numId w:val="14"/>
        </w:numPr>
        <w:wordWrap/>
        <w:adjustRightInd/>
        <w:snapToGrid/>
        <w:spacing w:line="360" w:lineRule="auto"/>
        <w:ind w:left="0" w:leftChars="0" w:right="0" w:firstLine="0" w:firstLineChars="0"/>
        <w:jc w:val="both"/>
        <w:textAlignment w:val="auto"/>
        <w:outlineLvl w:val="9"/>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投标截止时间见采购文件第一章《招标公告》。</w:t>
      </w:r>
    </w:p>
    <w:p>
      <w:pPr>
        <w:widowControl w:val="0"/>
        <w:numPr>
          <w:ilvl w:val="0"/>
          <w:numId w:val="14"/>
        </w:numPr>
        <w:wordWrap/>
        <w:adjustRightInd/>
        <w:snapToGrid/>
        <w:spacing w:line="360" w:lineRule="auto"/>
        <w:ind w:left="0" w:leftChars="0" w:right="0" w:firstLine="0" w:firstLineChars="0"/>
        <w:jc w:val="both"/>
        <w:textAlignment w:val="auto"/>
        <w:outlineLvl w:val="9"/>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采购代理机构可以按本须知第11条规定，通过修改采购文件自行决定酌情延长投标截止时间。在此情况下，采购文件购买者和投标人的所有权利和义务以及投标人受制约的投标截止时间均应延长后新的投标截止时间为准。</w:t>
      </w:r>
    </w:p>
    <w:p>
      <w:pPr>
        <w:widowControl w:val="0"/>
        <w:numPr>
          <w:ilvl w:val="0"/>
          <w:numId w:val="14"/>
        </w:numPr>
        <w:wordWrap/>
        <w:adjustRightInd/>
        <w:snapToGrid/>
        <w:spacing w:line="360" w:lineRule="auto"/>
        <w:ind w:left="0" w:leftChars="0" w:right="0" w:firstLine="0" w:firstLineChars="0"/>
        <w:jc w:val="both"/>
        <w:textAlignment w:val="auto"/>
        <w:outlineLvl w:val="9"/>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到投标截止时间，采购代理机构收到的投标文件不足三家的，采购代理机构将依法重新组织招标；有特殊情况的，根据国家、山东省、临沂市相关法律法规及规定等，经相关部门批准，招标活动可继续进行。</w:t>
      </w:r>
    </w:p>
    <w:p>
      <w:pPr>
        <w:numPr>
          <w:numId w:val="0"/>
        </w:numPr>
        <w:jc w:val="both"/>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19.迟交的投标文件的</w:t>
      </w:r>
    </w:p>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cs="宋体"/>
          <w:b/>
          <w:bCs/>
          <w:sz w:val="24"/>
          <w:szCs w:val="24"/>
          <w:highlight w:val="none"/>
          <w:lang w:val="en-US" w:eastAsia="zh-CN"/>
        </w:rPr>
      </w:pPr>
      <w:r>
        <w:rPr>
          <w:rFonts w:hint="eastAsia" w:ascii="宋体" w:hAnsi="宋体" w:cs="宋体"/>
          <w:b w:val="0"/>
          <w:bCs w:val="0"/>
          <w:kern w:val="2"/>
          <w:sz w:val="24"/>
          <w:szCs w:val="24"/>
          <w:highlight w:val="none"/>
          <w:lang w:val="en-US" w:eastAsia="zh-CN" w:bidi="ar-SA"/>
        </w:rPr>
        <w:t>采购代理机构将拒绝并原封退回在其规定的投标截止时间后送达的任何投标文件。</w:t>
      </w:r>
    </w:p>
    <w:p>
      <w:pPr>
        <w:numPr>
          <w:numId w:val="0"/>
        </w:numPr>
        <w:jc w:val="both"/>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20.投标文件的补充、修改和撤回</w:t>
      </w:r>
    </w:p>
    <w:p>
      <w:pPr>
        <w:widowControl w:val="0"/>
        <w:numPr>
          <w:ilvl w:val="0"/>
          <w:numId w:val="15"/>
        </w:numPr>
        <w:wordWrap/>
        <w:adjustRightInd/>
        <w:snapToGrid/>
        <w:spacing w:line="360" w:lineRule="auto"/>
        <w:ind w:left="0" w:leftChars="0" w:right="0" w:firstLine="0" w:firstLineChars="0"/>
        <w:jc w:val="both"/>
        <w:textAlignment w:val="auto"/>
        <w:outlineLvl w:val="9"/>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投标人在递交投标文件后，在规定的投标截止时间前，可以以书面形式补充修改或撤回已提交的投标文件，并以书面形式通知采购代理机构，修改或撤回其投标文件。补充、修改的内容为其投标文件的组成部分。</w:t>
      </w:r>
    </w:p>
    <w:p>
      <w:pPr>
        <w:widowControl w:val="0"/>
        <w:numPr>
          <w:ilvl w:val="0"/>
          <w:numId w:val="15"/>
        </w:numPr>
        <w:wordWrap/>
        <w:adjustRightInd/>
        <w:snapToGrid/>
        <w:spacing w:line="360" w:lineRule="auto"/>
        <w:ind w:left="0" w:leftChars="0" w:right="0" w:firstLine="0" w:firstLineChars="0"/>
        <w:jc w:val="both"/>
        <w:textAlignment w:val="auto"/>
        <w:outlineLvl w:val="9"/>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投标人对投标文件的补充、修改，应按本须知第15条的规定进行编制和签署，并按本须知第16条的规定进行密封、标记，同时还应在封套上加注“修改”字样。修改文件同样必须在投标截止时间前送达采购代理机构。</w:t>
      </w:r>
    </w:p>
    <w:p>
      <w:pPr>
        <w:widowControl w:val="0"/>
        <w:numPr>
          <w:ilvl w:val="0"/>
          <w:numId w:val="15"/>
        </w:numPr>
        <w:wordWrap/>
        <w:adjustRightInd/>
        <w:snapToGrid/>
        <w:spacing w:line="360" w:lineRule="auto"/>
        <w:ind w:left="0" w:leftChars="0" w:right="0" w:firstLine="0" w:firstLineChars="0"/>
        <w:jc w:val="both"/>
        <w:textAlignment w:val="auto"/>
        <w:outlineLvl w:val="9"/>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投标截止时间之后，投标人不得对其投标文件做任何实质修改。</w:t>
      </w:r>
    </w:p>
    <w:p>
      <w:pPr>
        <w:widowControl w:val="0"/>
        <w:numPr>
          <w:ilvl w:val="0"/>
          <w:numId w:val="15"/>
        </w:numPr>
        <w:wordWrap/>
        <w:adjustRightInd/>
        <w:snapToGrid/>
        <w:spacing w:line="360" w:lineRule="auto"/>
        <w:ind w:left="0" w:leftChars="0" w:right="0" w:firstLine="0" w:firstLineChars="0"/>
        <w:jc w:val="both"/>
        <w:textAlignment w:val="auto"/>
        <w:outlineLvl w:val="9"/>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在投标截止时间至采购代理机构在采购文件中规定的投标有效期期满之间的这段时间内，投标人不得撤回其投标文件，否则其投标保证金将被没收。</w:t>
      </w:r>
    </w:p>
    <w:p>
      <w:pPr>
        <w:numPr>
          <w:numId w:val="0"/>
        </w:num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五、开标、评标与定标</w:t>
      </w:r>
    </w:p>
    <w:p>
      <w:pPr>
        <w:numPr>
          <w:numId w:val="0"/>
        </w:numPr>
        <w:jc w:val="both"/>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21.开标一般规定</w:t>
      </w:r>
    </w:p>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1）采购代理机构将在采购文件第一章《招标公告》中规定的时间和地点组织公开开标。</w:t>
      </w:r>
      <w:r>
        <w:rPr>
          <w:rFonts w:ascii="宋体" w:hAnsi="宋体" w:cs="宋体"/>
          <w:b/>
          <w:kern w:val="1"/>
          <w:sz w:val="24"/>
          <w:highlight w:val="none"/>
          <w:u w:val="single"/>
        </w:rPr>
        <w:t>开标时投标单位须携带法人授权委托书或法人证明及本人身份证、投标保证金交纳凭证（临沂市公共资源交易中心出具）</w:t>
      </w:r>
      <w:r>
        <w:rPr>
          <w:rFonts w:hint="eastAsia" w:ascii="宋体" w:hAnsi="宋体" w:cs="宋体"/>
          <w:b/>
          <w:kern w:val="1"/>
          <w:sz w:val="24"/>
          <w:highlight w:val="none"/>
          <w:u w:val="single"/>
          <w:lang w:val="en-US" w:eastAsia="zh-CN"/>
        </w:rPr>
        <w:t>,</w:t>
      </w:r>
      <w:r>
        <w:rPr>
          <w:rFonts w:ascii="宋体" w:hAnsi="宋体" w:cs="宋体"/>
          <w:b/>
          <w:kern w:val="1"/>
          <w:sz w:val="24"/>
          <w:highlight w:val="none"/>
          <w:u w:val="single"/>
        </w:rPr>
        <w:t>否则不予接受投标文件，未按规定要求参加开标会议的，其投标书作废。</w:t>
      </w:r>
      <w:r>
        <w:rPr>
          <w:rFonts w:hint="eastAsia" w:ascii="宋体" w:hAnsi="宋体" w:cs="宋体"/>
          <w:b w:val="0"/>
          <w:bCs w:val="0"/>
          <w:kern w:val="2"/>
          <w:sz w:val="24"/>
          <w:szCs w:val="24"/>
          <w:highlight w:val="none"/>
          <w:lang w:val="en-US" w:eastAsia="zh-CN" w:bidi="ar-SA"/>
        </w:rPr>
        <w:t>参加开标的代表须签名以证明出席。</w:t>
      </w:r>
    </w:p>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2）按照本须知第20条规定，同意撤回的投标文件将不予开封。</w:t>
      </w:r>
    </w:p>
    <w:p>
      <w:pPr>
        <w:widowControl w:val="0"/>
        <w:wordWrap/>
        <w:adjustRightInd/>
        <w:snapToGrid/>
        <w:spacing w:line="360" w:lineRule="auto"/>
        <w:ind w:left="0" w:leftChars="0" w:right="0" w:firstLine="0" w:firstLineChars="0"/>
        <w:jc w:val="both"/>
        <w:textAlignment w:val="auto"/>
        <w:outlineLvl w:val="9"/>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3）开标时，采购代理机构工作人员将当众宣读每份投标文件中《公开报价一览表》中的主要内容，以及采购代理机构认为合适的其他详细内容。</w:t>
      </w:r>
    </w:p>
    <w:p>
      <w:pPr>
        <w:widowControl w:val="0"/>
        <w:wordWrap/>
        <w:adjustRightInd/>
        <w:snapToGrid/>
        <w:spacing w:line="360" w:lineRule="auto"/>
        <w:ind w:left="0" w:leftChars="0" w:right="0" w:firstLine="0" w:firstLineChars="0"/>
        <w:jc w:val="both"/>
        <w:textAlignment w:val="auto"/>
        <w:outlineLvl w:val="9"/>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4）采购代理机构将做开标记录，开标记录包括按本须知第21.3款规定在开标时宣读的全部内容。</w:t>
      </w:r>
    </w:p>
    <w:p>
      <w:pPr>
        <w:widowControl w:val="0"/>
        <w:wordWrap/>
        <w:adjustRightInd/>
        <w:snapToGrid/>
        <w:spacing w:line="360" w:lineRule="auto"/>
        <w:ind w:left="0" w:leftChars="0" w:right="0" w:firstLine="0" w:firstLineChars="0"/>
        <w:jc w:val="both"/>
        <w:textAlignment w:val="auto"/>
        <w:outlineLvl w:val="9"/>
        <w:rPr>
          <w:rFonts w:hint="eastAsia" w:ascii="宋体" w:hAnsi="宋体" w:cs="宋体"/>
          <w:b/>
          <w:bCs/>
          <w:kern w:val="2"/>
          <w:sz w:val="24"/>
          <w:szCs w:val="24"/>
          <w:highlight w:val="none"/>
          <w:lang w:val="en-US" w:eastAsia="zh-CN" w:bidi="ar-SA"/>
        </w:rPr>
      </w:pPr>
      <w:r>
        <w:rPr>
          <w:rFonts w:hint="eastAsia" w:ascii="宋体" w:hAnsi="宋体" w:cs="宋体"/>
          <w:b/>
          <w:bCs/>
          <w:sz w:val="24"/>
          <w:szCs w:val="24"/>
          <w:highlight w:val="none"/>
          <w:lang w:val="en-US" w:eastAsia="zh-CN"/>
        </w:rPr>
        <w:t>2</w:t>
      </w:r>
      <w:r>
        <w:rPr>
          <w:rFonts w:hint="eastAsia" w:ascii="宋体" w:hAnsi="宋体" w:cs="宋体"/>
          <w:b/>
          <w:bCs/>
          <w:kern w:val="2"/>
          <w:sz w:val="24"/>
          <w:szCs w:val="24"/>
          <w:highlight w:val="none"/>
          <w:lang w:val="en-US" w:eastAsia="zh-CN" w:bidi="ar-SA"/>
        </w:rPr>
        <w:t>2.投标文件的有效性</w:t>
      </w:r>
    </w:p>
    <w:p>
      <w:pPr>
        <w:widowControl w:val="0"/>
        <w:wordWrap/>
        <w:adjustRightInd/>
        <w:snapToGrid/>
        <w:spacing w:line="360" w:lineRule="auto"/>
        <w:ind w:left="0" w:leftChars="0" w:right="0" w:firstLine="0" w:firstLineChars="0"/>
        <w:jc w:val="both"/>
        <w:textAlignment w:val="auto"/>
        <w:outlineLvl w:val="9"/>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1) 开标时，投标文件出现下列情形之一的，应当作为无效投标文件，不得进入评标：</w:t>
      </w:r>
    </w:p>
    <w:p>
      <w:pPr>
        <w:numPr>
          <w:ilvl w:val="1"/>
          <w:numId w:val="16"/>
        </w:numPr>
        <w:tabs>
          <w:tab w:val="left" w:pos="1080"/>
          <w:tab w:val="clear" w:pos="1320"/>
        </w:tabs>
        <w:topLinePunct w:val="1"/>
        <w:spacing w:line="460" w:lineRule="exact"/>
        <w:ind w:hanging="600"/>
        <w:rPr>
          <w:rFonts w:hint="eastAsia" w:ascii="宋体" w:hAnsi="宋体" w:eastAsia="宋体" w:cs="宋体"/>
          <w:sz w:val="24"/>
          <w:szCs w:val="24"/>
          <w:highlight w:val="none"/>
        </w:rPr>
      </w:pPr>
      <w:r>
        <w:rPr>
          <w:rFonts w:hint="eastAsia" w:ascii="宋体" w:hAnsi="宋体" w:eastAsia="宋体" w:cs="宋体"/>
          <w:sz w:val="24"/>
          <w:szCs w:val="24"/>
          <w:highlight w:val="none"/>
        </w:rPr>
        <w:t>逾期送达或者未送达指定地点的。</w:t>
      </w:r>
    </w:p>
    <w:p>
      <w:pPr>
        <w:numPr>
          <w:ilvl w:val="1"/>
          <w:numId w:val="16"/>
        </w:numPr>
        <w:tabs>
          <w:tab w:val="left" w:pos="1080"/>
          <w:tab w:val="clear" w:pos="1320"/>
        </w:tabs>
        <w:topLinePunct w:val="1"/>
        <w:spacing w:line="460" w:lineRule="exact"/>
        <w:ind w:hanging="600"/>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投标文件未按要求密封的。</w:t>
      </w:r>
    </w:p>
    <w:p>
      <w:pPr>
        <w:numPr>
          <w:ilvl w:val="1"/>
          <w:numId w:val="16"/>
        </w:numPr>
        <w:tabs>
          <w:tab w:val="left" w:pos="1080"/>
          <w:tab w:val="clear" w:pos="1320"/>
        </w:tabs>
        <w:topLinePunct w:val="1"/>
        <w:spacing w:line="460" w:lineRule="exact"/>
        <w:ind w:hanging="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未按要求递交投标保证金的。</w:t>
      </w:r>
    </w:p>
    <w:p>
      <w:pPr>
        <w:numPr>
          <w:ilvl w:val="1"/>
          <w:numId w:val="16"/>
        </w:numPr>
        <w:tabs>
          <w:tab w:val="left" w:pos="1080"/>
          <w:tab w:val="clear" w:pos="1320"/>
        </w:tabs>
        <w:topLinePunct w:val="1"/>
        <w:spacing w:line="460" w:lineRule="exact"/>
        <w:ind w:hanging="6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要求加盖公章处未加盖公章的。</w:t>
      </w:r>
    </w:p>
    <w:p>
      <w:pPr>
        <w:numPr>
          <w:ilvl w:val="1"/>
          <w:numId w:val="16"/>
        </w:numPr>
        <w:tabs>
          <w:tab w:val="left" w:pos="1080"/>
          <w:tab w:val="clear" w:pos="1320"/>
        </w:tabs>
        <w:topLinePunct w:val="1"/>
        <w:spacing w:line="460" w:lineRule="exact"/>
        <w:ind w:hanging="6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不具备采购文件中规定的资格要求的。</w:t>
      </w:r>
    </w:p>
    <w:p>
      <w:pPr>
        <w:numPr>
          <w:ilvl w:val="1"/>
          <w:numId w:val="16"/>
        </w:numPr>
        <w:tabs>
          <w:tab w:val="left" w:pos="1080"/>
          <w:tab w:val="clear" w:pos="1320"/>
        </w:tabs>
        <w:topLinePunct w:val="1"/>
        <w:spacing w:line="460" w:lineRule="exact"/>
        <w:ind w:hanging="6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未经财政部门核准，提供进口产品的。</w:t>
      </w:r>
    </w:p>
    <w:p>
      <w:pPr>
        <w:numPr>
          <w:ilvl w:val="1"/>
          <w:numId w:val="16"/>
        </w:numPr>
        <w:tabs>
          <w:tab w:val="left" w:pos="1080"/>
          <w:tab w:val="clear" w:pos="1320"/>
        </w:tabs>
        <w:topLinePunct w:val="1"/>
        <w:spacing w:line="460" w:lineRule="exact"/>
        <w:ind w:hanging="600"/>
        <w:rPr>
          <w:rFonts w:hint="eastAsia" w:ascii="仿宋_GB2312" w:hAnsi="宋体" w:eastAsia="仿宋_GB2312"/>
          <w:sz w:val="24"/>
          <w:szCs w:val="24"/>
          <w:highlight w:val="none"/>
        </w:rPr>
      </w:pPr>
      <w:r>
        <w:rPr>
          <w:rFonts w:hint="eastAsia" w:ascii="宋体" w:hAnsi="宋体" w:eastAsia="宋体" w:cs="宋体"/>
          <w:sz w:val="24"/>
          <w:szCs w:val="24"/>
          <w:highlight w:val="none"/>
        </w:rPr>
        <w:t>法律、法规及招标文件规定的其它情况</w:t>
      </w:r>
      <w:r>
        <w:rPr>
          <w:rFonts w:hint="eastAsia" w:ascii="仿宋_GB2312" w:hAnsi="宋体" w:eastAsia="仿宋_GB2312"/>
          <w:sz w:val="24"/>
          <w:szCs w:val="24"/>
          <w:highlight w:val="none"/>
        </w:rPr>
        <w:t>。</w:t>
      </w:r>
    </w:p>
    <w:p>
      <w:pPr>
        <w:widowControl w:val="0"/>
        <w:numPr>
          <w:ilvl w:val="0"/>
          <w:numId w:val="17"/>
        </w:numPr>
        <w:wordWrap/>
        <w:adjustRightInd/>
        <w:snapToGrid/>
        <w:spacing w:line="360" w:lineRule="auto"/>
        <w:ind w:left="0" w:leftChars="0" w:right="0" w:firstLine="0" w:firstLineChars="0"/>
        <w:jc w:val="both"/>
        <w:textAlignment w:val="auto"/>
        <w:outlineLvl w:val="9"/>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招标代理机构将有效投标文件送评标委员会评审、比较。</w:t>
      </w:r>
    </w:p>
    <w:p>
      <w:pPr>
        <w:widowControl w:val="0"/>
        <w:numPr>
          <w:numId w:val="0"/>
        </w:numPr>
        <w:wordWrap/>
        <w:adjustRightInd/>
        <w:snapToGrid/>
        <w:spacing w:line="360" w:lineRule="auto"/>
        <w:ind w:leftChars="0" w:right="0"/>
        <w:jc w:val="both"/>
        <w:textAlignment w:val="auto"/>
        <w:outlineLvl w:val="9"/>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23.评标委员会</w:t>
      </w:r>
    </w:p>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1）开标后，评标委员会进行评标。</w:t>
      </w:r>
    </w:p>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2）根据本项目的特点依法组建评标委员会，其成员由采购人和有关技术、经济等方面的专家组成，成员人数为</w:t>
      </w:r>
      <w:r>
        <w:rPr>
          <w:rFonts w:hint="eastAsia" w:ascii="宋体" w:hAnsi="宋体" w:cs="宋体"/>
          <w:b w:val="0"/>
          <w:bCs w:val="0"/>
          <w:color w:val="FF0000"/>
          <w:kern w:val="2"/>
          <w:sz w:val="24"/>
          <w:szCs w:val="24"/>
          <w:highlight w:val="none"/>
          <w:lang w:val="en-US" w:eastAsia="zh-CN" w:bidi="ar-SA"/>
        </w:rPr>
        <w:t>5</w:t>
      </w:r>
      <w:r>
        <w:rPr>
          <w:rFonts w:hint="eastAsia" w:ascii="宋体" w:hAnsi="宋体" w:cs="宋体"/>
          <w:b w:val="0"/>
          <w:bCs w:val="0"/>
          <w:kern w:val="2"/>
          <w:sz w:val="24"/>
          <w:szCs w:val="24"/>
          <w:highlight w:val="none"/>
          <w:lang w:val="en-US" w:eastAsia="zh-CN" w:bidi="ar-SA"/>
        </w:rPr>
        <w:t>人以上单数；其中，技术、经济等方面的专家不得少于成员总数的三分之二。</w:t>
      </w:r>
    </w:p>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3）评标委员会独立开展工作，负责审议所有投标文件，并推荐中标候选人或直接确定中标单位。</w:t>
      </w:r>
    </w:p>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4）评标委员会将对投标人的商业、技术秘密予以保密。</w:t>
      </w:r>
    </w:p>
    <w:p>
      <w:pPr>
        <w:numPr>
          <w:numId w:val="0"/>
        </w:numPr>
        <w:jc w:val="both"/>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24.评标过程的保密性</w:t>
      </w:r>
    </w:p>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1）公开开标后，直至向中标的投标人授予合同时止，凡是与审查、澄清、评价和比较投标的有关资料以及授标建议等，均不得向投标人及与评标无关的其他人员透露。</w:t>
      </w:r>
    </w:p>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2）在评标过程中，如果投标人试图向采购代理机构和参与评标人员施加任何影响，都将会导致其投标被拒绝。</w:t>
      </w:r>
    </w:p>
    <w:p>
      <w:pPr>
        <w:numPr>
          <w:numId w:val="0"/>
        </w:numPr>
        <w:jc w:val="both"/>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25.投标文件的初审</w:t>
      </w:r>
    </w:p>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1）在详细评标之前，评标委员会将依据采购文件的规定，从投标人资格条件、投标文件的有效性、完整性和对采购文件的响应程度进行审查，以确定是否对采购文件的实质性要求做出响应。实质性响应的投标应该是与采购文件要求的全部条款、条件和规格相符，没有重大偏离或保留的投标。所谓重大偏离或保留是指影响到采购文件规定的合同内容、服务质量，或者在实质上与采购文件不一致，而且限制了采购人的权利或投标人的义务，纠正这些偏离或保留将会对其他实质性响应要求的投标人的竞争地位产生不公正的影响。</w:t>
      </w:r>
    </w:p>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2）投标文件中未提供或描述不清晰不全面的内容，导致评标委员会无法理解或确认的内容，评标委员会将向对于投标人不利的方向理解和确认。</w:t>
      </w:r>
    </w:p>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3）如果投标文件实质上没有响应采购文件的要求，评标委员会有权拒绝其投标，投标人不得通过修改或撤销不合要求的偏离或保留而使其报价成为实质性响应的投标。</w:t>
      </w:r>
    </w:p>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4）在商务评议时，如发现下列情况之一的，评标委员会有权拒绝该投标人的投标或做无效投标处理：</w:t>
      </w:r>
    </w:p>
    <w:p>
      <w:pPr>
        <w:numPr>
          <w:ilvl w:val="1"/>
          <w:numId w:val="18"/>
        </w:numPr>
        <w:tabs>
          <w:tab w:val="left" w:pos="1080"/>
          <w:tab w:val="clear" w:pos="1320"/>
        </w:tabs>
        <w:topLinePunct w:val="1"/>
        <w:spacing w:line="460" w:lineRule="exact"/>
        <w:ind w:hanging="600"/>
        <w:jc w:val="left"/>
        <w:outlineLvl w:val="0"/>
        <w:rPr>
          <w:rFonts w:hint="eastAsia" w:ascii="宋体" w:hAnsi="宋体" w:eastAsia="宋体" w:cs="宋体"/>
          <w:color w:val="000000"/>
          <w:sz w:val="24"/>
          <w:szCs w:val="24"/>
          <w:highlight w:val="none"/>
        </w:rPr>
      </w:pP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color w:val="000000"/>
          <w:sz w:val="24"/>
          <w:szCs w:val="24"/>
          <w:highlight w:val="none"/>
        </w:rPr>
        <w:t>投标人未按招标文件要求交纳投标保证金的。</w:t>
      </w:r>
    </w:p>
    <w:p>
      <w:pPr>
        <w:numPr>
          <w:ilvl w:val="1"/>
          <w:numId w:val="18"/>
        </w:numPr>
        <w:tabs>
          <w:tab w:val="left" w:pos="1080"/>
          <w:tab w:val="clear" w:pos="1320"/>
        </w:tabs>
        <w:topLinePunct w:val="1"/>
        <w:spacing w:line="460" w:lineRule="exact"/>
        <w:ind w:left="1080" w:hanging="360"/>
        <w:jc w:val="left"/>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投标函、法定代表人授权委托书、公开唱价一览表、明细报价表中未加盖投标人公章；投标函、法定代表人授权委托书中法定代表人未签字/印章（或签字/印章人无法定代表人有效授权书的）。</w:t>
      </w:r>
    </w:p>
    <w:p>
      <w:pPr>
        <w:numPr>
          <w:ilvl w:val="1"/>
          <w:numId w:val="18"/>
        </w:numPr>
        <w:tabs>
          <w:tab w:val="left" w:pos="1080"/>
          <w:tab w:val="clear" w:pos="1320"/>
        </w:tabs>
        <w:topLinePunct w:val="1"/>
        <w:spacing w:line="460" w:lineRule="exact"/>
        <w:ind w:hanging="600"/>
        <w:jc w:val="left"/>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投标文件未按招标文件规定编制或字迹模糊不清，难以辨认的。</w:t>
      </w:r>
    </w:p>
    <w:p>
      <w:pPr>
        <w:numPr>
          <w:ilvl w:val="1"/>
          <w:numId w:val="18"/>
        </w:numPr>
        <w:tabs>
          <w:tab w:val="left" w:pos="1080"/>
          <w:tab w:val="clear" w:pos="1320"/>
        </w:tabs>
        <w:topLinePunct w:val="1"/>
        <w:spacing w:line="460" w:lineRule="exact"/>
        <w:ind w:hanging="600"/>
        <w:jc w:val="left"/>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投标人的投标文件不符合招标文件要求的。</w:t>
      </w:r>
    </w:p>
    <w:p>
      <w:pPr>
        <w:numPr>
          <w:ilvl w:val="1"/>
          <w:numId w:val="18"/>
        </w:numPr>
        <w:tabs>
          <w:tab w:val="left" w:pos="1080"/>
          <w:tab w:val="clear" w:pos="1320"/>
        </w:tabs>
        <w:topLinePunct w:val="1"/>
        <w:spacing w:line="460" w:lineRule="exact"/>
        <w:ind w:left="1080" w:hanging="360"/>
        <w:jc w:val="left"/>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投标人递交两份或多份内容不同的投标文件，或在一份投标文件中对同一招标项目有两个或多个报价，且未声明哪一个有效（按招标文件规定提交备选投标方案的或招标文件有其它说明的除外）。</w:t>
      </w:r>
    </w:p>
    <w:p>
      <w:pPr>
        <w:numPr>
          <w:ilvl w:val="1"/>
          <w:numId w:val="18"/>
        </w:numPr>
        <w:tabs>
          <w:tab w:val="left" w:pos="1080"/>
          <w:tab w:val="clear" w:pos="1320"/>
        </w:tabs>
        <w:topLinePunct w:val="1"/>
        <w:spacing w:line="460" w:lineRule="exact"/>
        <w:ind w:hanging="600"/>
        <w:jc w:val="left"/>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投标有效期不足的。</w:t>
      </w:r>
    </w:p>
    <w:p>
      <w:pPr>
        <w:numPr>
          <w:ilvl w:val="1"/>
          <w:numId w:val="18"/>
        </w:numPr>
        <w:tabs>
          <w:tab w:val="left" w:pos="1080"/>
          <w:tab w:val="clear" w:pos="1320"/>
        </w:tabs>
        <w:topLinePunct w:val="1"/>
        <w:spacing w:line="460" w:lineRule="exact"/>
        <w:ind w:hanging="600"/>
        <w:jc w:val="left"/>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公开唱标后，投标人撤回投标、退出评标的。</w:t>
      </w:r>
    </w:p>
    <w:p>
      <w:pPr>
        <w:numPr>
          <w:ilvl w:val="1"/>
          <w:numId w:val="18"/>
        </w:numPr>
        <w:tabs>
          <w:tab w:val="left" w:pos="1080"/>
          <w:tab w:val="clear" w:pos="1320"/>
        </w:tabs>
        <w:topLinePunct w:val="1"/>
        <w:spacing w:line="460" w:lineRule="exact"/>
        <w:ind w:hanging="600"/>
        <w:jc w:val="left"/>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投标人相互串通投标的。</w:t>
      </w:r>
    </w:p>
    <w:p>
      <w:pPr>
        <w:numPr>
          <w:ilvl w:val="1"/>
          <w:numId w:val="18"/>
        </w:numPr>
        <w:tabs>
          <w:tab w:val="left" w:pos="1080"/>
          <w:tab w:val="clear" w:pos="1320"/>
        </w:tabs>
        <w:topLinePunct w:val="1"/>
        <w:spacing w:line="460" w:lineRule="exact"/>
        <w:ind w:hanging="600"/>
        <w:jc w:val="left"/>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妨碍招标人、招标代理机构或其他投标人的合法权益。</w:t>
      </w:r>
    </w:p>
    <w:p>
      <w:pPr>
        <w:numPr>
          <w:ilvl w:val="1"/>
          <w:numId w:val="18"/>
        </w:numPr>
        <w:tabs>
          <w:tab w:val="left" w:pos="1080"/>
          <w:tab w:val="clear" w:pos="1320"/>
        </w:tabs>
        <w:topLinePunct w:val="1"/>
        <w:spacing w:line="460" w:lineRule="exact"/>
        <w:ind w:hanging="600"/>
        <w:jc w:val="left"/>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投标人向招标人、招标代理机构、评标委员会提供不正当利益的。</w:t>
      </w:r>
    </w:p>
    <w:p>
      <w:pPr>
        <w:numPr>
          <w:ilvl w:val="1"/>
          <w:numId w:val="18"/>
        </w:numPr>
        <w:tabs>
          <w:tab w:val="left" w:pos="1080"/>
          <w:tab w:val="clear" w:pos="1320"/>
        </w:tabs>
        <w:topLinePunct w:val="1"/>
        <w:spacing w:line="460" w:lineRule="exact"/>
        <w:ind w:hanging="600"/>
        <w:jc w:val="left"/>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投标文件符合招标文件中规定废标的其它商务条款。</w:t>
      </w:r>
    </w:p>
    <w:p>
      <w:pPr>
        <w:numPr>
          <w:ilvl w:val="1"/>
          <w:numId w:val="18"/>
        </w:numPr>
        <w:tabs>
          <w:tab w:val="left" w:pos="1080"/>
          <w:tab w:val="clear" w:pos="1320"/>
        </w:tabs>
        <w:topLinePunct w:val="1"/>
        <w:spacing w:line="460" w:lineRule="exact"/>
        <w:ind w:hanging="600"/>
        <w:jc w:val="left"/>
        <w:outlineLvl w:val="0"/>
        <w:rPr>
          <w:rFonts w:hint="eastAsia" w:ascii="宋体" w:hAnsi="宋体" w:cs="宋体"/>
          <w:b w:val="0"/>
          <w:bCs w:val="0"/>
          <w:kern w:val="2"/>
          <w:sz w:val="24"/>
          <w:szCs w:val="24"/>
          <w:highlight w:val="none"/>
          <w:lang w:val="en-US" w:eastAsia="zh-CN" w:bidi="ar-SA"/>
        </w:rPr>
      </w:pPr>
      <w:r>
        <w:rPr>
          <w:rFonts w:hint="eastAsia" w:ascii="宋体" w:hAnsi="宋体" w:eastAsia="宋体" w:cs="宋体"/>
          <w:sz w:val="24"/>
          <w:szCs w:val="24"/>
          <w:highlight w:val="none"/>
        </w:rPr>
        <w:t>法律、法规规定的其它情况。</w:t>
      </w:r>
    </w:p>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 xml:space="preserve">  5）在技术评议时，如有下列情况之一的，评标委员会有权利拒绝该投标人的投标或无效投标处理：</w:t>
      </w:r>
    </w:p>
    <w:p>
      <w:pPr>
        <w:numPr>
          <w:ilvl w:val="2"/>
          <w:numId w:val="18"/>
        </w:numPr>
        <w:tabs>
          <w:tab w:val="left" w:pos="1080"/>
          <w:tab w:val="clear" w:pos="1320"/>
        </w:tabs>
        <w:topLinePunct w:val="1"/>
        <w:spacing w:line="460" w:lineRule="exact"/>
        <w:ind w:left="1080" w:hanging="360"/>
        <w:jc w:val="left"/>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投标文件技术规格中一般参数超出允许偏离的最大范围或最高项数的。</w:t>
      </w:r>
    </w:p>
    <w:p>
      <w:pPr>
        <w:pStyle w:val="3"/>
        <w:numPr>
          <w:ilvl w:val="2"/>
          <w:numId w:val="18"/>
        </w:numPr>
        <w:tabs>
          <w:tab w:val="left" w:pos="1080"/>
          <w:tab w:val="clear" w:pos="1320"/>
        </w:tabs>
        <w:topLinePunct w:val="1"/>
        <w:spacing w:line="460" w:lineRule="exact"/>
        <w:ind w:hanging="600" w:firstLineChars="0"/>
        <w:jc w:val="left"/>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投标文件技术规格中的响应与事实不符或虚假投标的。</w:t>
      </w:r>
    </w:p>
    <w:p>
      <w:pPr>
        <w:pStyle w:val="3"/>
        <w:numPr>
          <w:ilvl w:val="2"/>
          <w:numId w:val="18"/>
        </w:numPr>
        <w:tabs>
          <w:tab w:val="left" w:pos="1080"/>
          <w:tab w:val="clear" w:pos="1320"/>
        </w:tabs>
        <w:topLinePunct w:val="1"/>
        <w:spacing w:line="460" w:lineRule="exact"/>
        <w:ind w:left="1080" w:hanging="360" w:firstLineChars="0"/>
        <w:jc w:val="left"/>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投标人复制招标文件的技术规格相关部分内容作为其投标文件的一部分，而没真实描述投标</w:t>
      </w: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实际技术指标的。</w:t>
      </w:r>
    </w:p>
    <w:p>
      <w:pPr>
        <w:pStyle w:val="3"/>
        <w:numPr>
          <w:ilvl w:val="2"/>
          <w:numId w:val="18"/>
        </w:numPr>
        <w:tabs>
          <w:tab w:val="left" w:pos="1080"/>
          <w:tab w:val="clear" w:pos="1320"/>
        </w:tabs>
        <w:topLinePunct w:val="1"/>
        <w:spacing w:line="460" w:lineRule="exact"/>
        <w:ind w:hanging="600" w:firstLineChars="0"/>
        <w:jc w:val="left"/>
        <w:outlineLvl w:val="0"/>
        <w:rPr>
          <w:rFonts w:hint="eastAsia" w:ascii="宋体" w:hAnsi="宋体" w:cs="宋体"/>
          <w:b w:val="0"/>
          <w:bCs w:val="0"/>
          <w:kern w:val="2"/>
          <w:sz w:val="24"/>
          <w:szCs w:val="24"/>
          <w:highlight w:val="none"/>
          <w:lang w:val="en-US" w:eastAsia="zh-CN" w:bidi="ar-SA"/>
        </w:rPr>
      </w:pPr>
      <w:r>
        <w:rPr>
          <w:rFonts w:hint="eastAsia" w:ascii="宋体" w:hAnsi="宋体" w:eastAsia="宋体" w:cs="宋体"/>
          <w:sz w:val="24"/>
          <w:szCs w:val="24"/>
          <w:highlight w:val="none"/>
        </w:rPr>
        <w:t>投标文件符合招标文件中规定废标的其它技术条款</w:t>
      </w:r>
      <w:r>
        <w:rPr>
          <w:rFonts w:hint="eastAsia" w:ascii="仿宋_GB2312" w:hAnsi="宋体" w:eastAsia="仿宋_GB2312"/>
          <w:sz w:val="24"/>
          <w:szCs w:val="24"/>
          <w:highlight w:val="none"/>
        </w:rPr>
        <w:t>。</w:t>
      </w:r>
    </w:p>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6）评标委员会将允许修正投标文件中不构成重大偏离的、微小的、非正规的、不一致的或不规则的地方，但这些修改不能影响任何投标人相应的名次排列。</w:t>
      </w:r>
    </w:p>
    <w:p>
      <w:pPr>
        <w:numPr>
          <w:numId w:val="0"/>
        </w:numPr>
        <w:jc w:val="both"/>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26.投标文件的澄清</w:t>
      </w:r>
    </w:p>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1）评标期间，为有助于对投标文件的审查、评价和比较，评标委员会有权要求投标人对其投标文件进行澄清，但并非对每个投标人都做澄清要求。</w:t>
      </w:r>
    </w:p>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2）接到评标委员会澄清要求的投标人应派人按评标委员会通知的时间和地点做出书面澄清，书面澄清的内容须由投标人法定代表人或授权代表签署，并作为投标文件的补充部分，但投标的实质性内容不得做任何更改。</w:t>
      </w:r>
    </w:p>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3）接到评标委员会澄清要求的投标人如未按本须知第26.2款的规定做出澄清，其风险由投标人自行承担。</w:t>
      </w:r>
    </w:p>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4）投标人未提供或描述不清晰的内容，导致评标委员会无法判断和确认的，将向对投标人不利的方向予以判断和确认。</w:t>
      </w:r>
    </w:p>
    <w:p>
      <w:pPr>
        <w:spacing w:line="460" w:lineRule="exact"/>
        <w:rPr>
          <w:rFonts w:hint="eastAsia" w:ascii="仿宋_GB2312" w:hAnsi="宋体" w:eastAsia="仿宋_GB2312"/>
          <w:sz w:val="24"/>
          <w:highlight w:val="none"/>
        </w:rPr>
      </w:pPr>
      <w:r>
        <w:rPr>
          <w:rFonts w:hint="eastAsia" w:ascii="宋体" w:hAnsi="宋体" w:cs="宋体"/>
          <w:b/>
          <w:bCs/>
          <w:sz w:val="24"/>
          <w:szCs w:val="24"/>
          <w:highlight w:val="none"/>
          <w:lang w:val="en-US" w:eastAsia="zh-CN"/>
        </w:rPr>
        <w:t>27.投标文件的评价和比较</w:t>
      </w:r>
    </w:p>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1）评标委员会将按照本须知第25条的规定，仅对初审合格的投标文件按采购文件中规定的评标方法、标准进行评价和比较。</w:t>
      </w:r>
    </w:p>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2）评定的标准和方法：</w:t>
      </w:r>
    </w:p>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a）本次评标的标准和方法采用综合评分法。评标委员会综合评定各投标人提交的投标文件，在满足采购文件所要求的全部实质性要求的前提下，根据综合得分由高到低推荐不少于三名中标候选人，得分相同的，报价较低的优先推荐为中标候选人，得分且报价相同的，技术指标较优的优先推荐为中标候选人。</w:t>
      </w:r>
    </w:p>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b）采购人根据评标委员会提出的书面评标报告和推荐的中标候选人确定成交人，也可以授权评标委员会直接确定成交人。同时将中标结果通知所有参加投标的投标人，只宣布结果，不解释未成交原因。</w:t>
      </w:r>
    </w:p>
    <w:p>
      <w:pPr>
        <w:numPr>
          <w:ilvl w:val="0"/>
          <w:numId w:val="19"/>
        </w:num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具体评分细则：</w:t>
      </w:r>
    </w:p>
    <w:p>
      <w:pPr>
        <w:numPr>
          <w:numId w:val="0"/>
        </w:num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a) 本次评定内容、评标标准：</w:t>
      </w:r>
    </w:p>
    <w:tbl>
      <w:tblPr>
        <w:tblW w:w="9224"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52"/>
        <w:gridCol w:w="790"/>
        <w:gridCol w:w="6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752"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序号</w:t>
            </w:r>
          </w:p>
        </w:tc>
        <w:tc>
          <w:tcPr>
            <w:tcW w:w="1452"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评审项目</w:t>
            </w:r>
          </w:p>
        </w:tc>
        <w:tc>
          <w:tcPr>
            <w:tcW w:w="790"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分值</w:t>
            </w:r>
          </w:p>
        </w:tc>
        <w:tc>
          <w:tcPr>
            <w:tcW w:w="6230"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满分值要求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1</w:t>
            </w:r>
          </w:p>
        </w:tc>
        <w:tc>
          <w:tcPr>
            <w:tcW w:w="1452" w:type="dxa"/>
            <w:tcBorders>
              <w:top w:val="single" w:color="auto" w:sz="4" w:space="0"/>
              <w:left w:val="single" w:color="auto" w:sz="4" w:space="0"/>
              <w:bottom w:val="single" w:color="auto" w:sz="4" w:space="0"/>
              <w:right w:val="single" w:color="auto" w:sz="4" w:space="0"/>
            </w:tcBorders>
            <w:vAlign w:val="center"/>
          </w:tcPr>
          <w:p>
            <w:pPr>
              <w:wordWrap/>
              <w:spacing w:line="440" w:lineRule="exact"/>
              <w:jc w:val="center"/>
              <w:textAlignment w:val="auto"/>
              <w:rPr>
                <w:rFonts w:hint="eastAsia" w:ascii="宋体" w:hAnsi="宋体" w:cs="宋体"/>
                <w:b w:val="0"/>
                <w:bCs w:val="0"/>
                <w:kern w:val="2"/>
                <w:sz w:val="24"/>
                <w:szCs w:val="24"/>
                <w:highlight w:val="none"/>
                <w:lang w:val="en-US" w:eastAsia="zh-CN" w:bidi="ar-SA"/>
              </w:rPr>
            </w:pPr>
            <w:r>
              <w:rPr>
                <w:rFonts w:hint="eastAsia" w:ascii="宋体" w:hAnsi="宋体"/>
                <w:sz w:val="24"/>
                <w:highlight w:val="none"/>
              </w:rPr>
              <w:t>报价得分</w:t>
            </w:r>
          </w:p>
        </w:tc>
        <w:tc>
          <w:tcPr>
            <w:tcW w:w="79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b w:val="0"/>
                <w:bCs w:val="0"/>
                <w:kern w:val="2"/>
                <w:sz w:val="24"/>
                <w:szCs w:val="24"/>
                <w:highlight w:val="none"/>
                <w:lang w:val="en-US" w:eastAsia="zh-CN" w:bidi="ar-SA"/>
              </w:rPr>
            </w:pPr>
            <w:r>
              <w:rPr>
                <w:rFonts w:hint="eastAsia" w:ascii="宋体" w:hAnsi="宋体"/>
                <w:sz w:val="24"/>
                <w:highlight w:val="none"/>
                <w:lang w:val="en-US" w:eastAsia="zh-CN"/>
              </w:rPr>
              <w:t>50</w:t>
            </w:r>
          </w:p>
        </w:tc>
        <w:tc>
          <w:tcPr>
            <w:tcW w:w="6230" w:type="dxa"/>
            <w:tcBorders>
              <w:top w:val="single" w:color="auto" w:sz="4" w:space="0"/>
              <w:left w:val="single" w:color="auto" w:sz="4" w:space="0"/>
              <w:bottom w:val="single" w:color="auto" w:sz="4" w:space="0"/>
              <w:right w:val="single" w:color="auto" w:sz="4" w:space="0"/>
            </w:tcBorders>
            <w:vAlign w:val="top"/>
          </w:tcPr>
          <w:p>
            <w:pPr>
              <w:wordWrap/>
              <w:spacing w:line="440" w:lineRule="exact"/>
              <w:textAlignment w:val="auto"/>
              <w:rPr>
                <w:rFonts w:hint="eastAsia" w:ascii="宋体" w:hAnsi="宋体"/>
                <w:sz w:val="24"/>
                <w:highlight w:val="none"/>
              </w:rPr>
            </w:pPr>
            <w:r>
              <w:rPr>
                <w:rFonts w:hint="eastAsia" w:ascii="宋体" w:hAnsi="宋体"/>
                <w:sz w:val="24"/>
                <w:highlight w:val="none"/>
              </w:rPr>
              <w:t>采用低价优先法计算，即满足招标文件要求且报价最低的为评标基准价，其价格分为满分，其他的报价得分统一按下列公式进行计算：</w:t>
            </w:r>
          </w:p>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sz w:val="24"/>
                <w:highlight w:val="none"/>
              </w:rPr>
              <w:t>报价得分=（评标基准价/投标报价）×</w:t>
            </w:r>
            <w:r>
              <w:rPr>
                <w:rFonts w:hint="eastAsia" w:ascii="宋体" w:hAnsi="宋体"/>
                <w:sz w:val="24"/>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2</w:t>
            </w:r>
          </w:p>
        </w:tc>
        <w:tc>
          <w:tcPr>
            <w:tcW w:w="1452"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产品技术经济性能响应情况</w:t>
            </w:r>
          </w:p>
        </w:tc>
        <w:tc>
          <w:tcPr>
            <w:tcW w:w="79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20</w:t>
            </w:r>
          </w:p>
        </w:tc>
        <w:tc>
          <w:tcPr>
            <w:tcW w:w="6230" w:type="dxa"/>
            <w:tcBorders>
              <w:top w:val="single" w:color="auto" w:sz="4" w:space="0"/>
              <w:left w:val="single" w:color="auto" w:sz="4" w:space="0"/>
              <w:bottom w:val="single" w:color="auto" w:sz="4" w:space="0"/>
              <w:right w:val="single" w:color="auto" w:sz="4" w:space="0"/>
            </w:tcBorders>
            <w:vAlign w:val="top"/>
          </w:tcPr>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评委根据投标单位所提供产品技术经济性能与招标文件要求的响应程度、质量、技术先进性、效能、设备的整体协调性等打分，优秀得20～15分；良好得15～7分；一般得7～0分。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3</w:t>
            </w:r>
          </w:p>
        </w:tc>
        <w:tc>
          <w:tcPr>
            <w:tcW w:w="1452"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供应商及生产厂家综合实力</w:t>
            </w:r>
          </w:p>
        </w:tc>
        <w:tc>
          <w:tcPr>
            <w:tcW w:w="79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10</w:t>
            </w:r>
          </w:p>
        </w:tc>
        <w:tc>
          <w:tcPr>
            <w:tcW w:w="6230" w:type="dxa"/>
            <w:tcBorders>
              <w:top w:val="single" w:color="auto" w:sz="4" w:space="0"/>
              <w:left w:val="single" w:color="auto" w:sz="4" w:space="0"/>
              <w:bottom w:val="single" w:color="auto" w:sz="4" w:space="0"/>
              <w:right w:val="single" w:color="auto" w:sz="4" w:space="0"/>
            </w:tcBorders>
            <w:vAlign w:val="top"/>
          </w:tcPr>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横向比较各供应商及生产厂家注册资金、生产规模、行业资质、各项专业资质、产品生产销售状况、荣誉认证、ISO认证、环境保护认证、市场知名度、市场占有率、财务状况等综合实力，分档打分。综合实力强，得10～8分；综合实力较强，得7～5分；综合实力一般，得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4</w:t>
            </w:r>
          </w:p>
        </w:tc>
        <w:tc>
          <w:tcPr>
            <w:tcW w:w="1452"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按期供货的保证措施，安装调试的主要技术保证措施</w:t>
            </w:r>
          </w:p>
        </w:tc>
        <w:tc>
          <w:tcPr>
            <w:tcW w:w="79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10</w:t>
            </w:r>
          </w:p>
        </w:tc>
        <w:tc>
          <w:tcPr>
            <w:tcW w:w="6230" w:type="dxa"/>
            <w:tcBorders>
              <w:top w:val="single" w:color="auto" w:sz="4" w:space="0"/>
              <w:left w:val="single" w:color="auto" w:sz="4" w:space="0"/>
              <w:bottom w:val="single" w:color="auto" w:sz="4" w:space="0"/>
              <w:right w:val="single" w:color="auto" w:sz="4" w:space="0"/>
            </w:tcBorders>
            <w:vAlign w:val="top"/>
          </w:tcPr>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比较各供应商按期供货的保证措施，安装调试的主要技术保证措施，分档打分。措施优良，保证力度强，得10～8分；措施一般，保证力度中，得7～5分；措施差，保证力度弱得4～0分。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0" w:hRule="atLeast"/>
        </w:trPr>
        <w:tc>
          <w:tcPr>
            <w:tcW w:w="752"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5</w:t>
            </w:r>
          </w:p>
        </w:tc>
        <w:tc>
          <w:tcPr>
            <w:tcW w:w="1452"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售后服务维修保证措施，处理办法，售后服务承诺</w:t>
            </w:r>
          </w:p>
        </w:tc>
        <w:tc>
          <w:tcPr>
            <w:tcW w:w="79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10</w:t>
            </w:r>
          </w:p>
        </w:tc>
        <w:tc>
          <w:tcPr>
            <w:tcW w:w="6230" w:type="dxa"/>
            <w:tcBorders>
              <w:top w:val="single" w:color="auto" w:sz="4" w:space="0"/>
              <w:left w:val="single" w:color="auto" w:sz="4" w:space="0"/>
              <w:bottom w:val="single" w:color="auto" w:sz="4" w:space="0"/>
              <w:right w:val="single" w:color="auto" w:sz="4" w:space="0"/>
            </w:tcBorders>
            <w:vAlign w:val="top"/>
          </w:tcPr>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根据投标单位及生产厂家针对本项目的具体实施方案打分。考虑因素如下：售后服务方案、对本项目自主承诺故障处理方案等，售后服务维修保证措施， 维修保养工程技术人员资格，在项目实施区域附近方便的地方设置备件库情况。提供包括完整的维修手册，操作手册和详细说明，维修响应时间，厂家承诺实行“三包”情况等。优秀得10～8分；良好得7～5分；一般得4～0分。</w:t>
            </w:r>
          </w:p>
        </w:tc>
      </w:tr>
    </w:tbl>
    <w:p>
      <w:pPr>
        <w:spacing w:line="44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评分说明：</w:t>
      </w:r>
    </w:p>
    <w:p>
      <w:pPr>
        <w:numPr>
          <w:ilvl w:val="0"/>
          <w:numId w:val="20"/>
        </w:numPr>
        <w:spacing w:line="44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技术汇总得分的计算方法：评标委员会成员打分的算术平均值。</w:t>
      </w:r>
    </w:p>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（2）评分（包括计算）如出现小数点，则保留小数点后两位。</w:t>
      </w:r>
    </w:p>
    <w:p>
      <w:pPr>
        <w:spacing w:line="460" w:lineRule="exac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4)政策加分项：</w:t>
      </w:r>
    </w:p>
    <w:p>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对于节能环保产品，依据《山东省节能环保产品政府采购评审办法》的规定，采用综合评分法评标的项目，应当增加节能、环保评审因素，在满足基本技术条件的前提下，对技术和价格项目按下列规则给予一定幅度的加分。在价格评标项中，可以对节能、环保产品分别给予价格评标总分值的4%幅度的加分；在技术评标项中，可以对节能、环保产品分别给予技术评标总分值的4%的加分。</w:t>
      </w:r>
    </w:p>
    <w:p>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b)根据财政部，工信部印发的《政府采购促进中小企业发展暂行办法》。如投标人是小微企业则该投标人的投标报价得分按以下标准进行价格扣除后再按 “评分标准”公式进行计算。凡参加此次投标的小型和微型企业提供本企业制造的或者提供其他小型、微型企业制造的产品，则该产品报价给予 6%的价格扣除优惠，但必须同时满足以下两个条件，否则不予价格扣除：</w:t>
      </w:r>
    </w:p>
    <w:p>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（1）投标人是小微企业</w:t>
      </w:r>
    </w:p>
    <w:p>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（2）投标产品制造商是小微企业</w:t>
      </w:r>
    </w:p>
    <w:p>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小型、微型企业认定时，须同时提供如下证明材料，否则不予认可：</w:t>
      </w:r>
    </w:p>
    <w:p>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①中小企业声明函（原件）。</w:t>
      </w:r>
    </w:p>
    <w:p>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②属于小型、微型企业的证明文件（原件）。</w:t>
      </w:r>
    </w:p>
    <w:p>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③若同一合同包内的小型、微型企业产品仅是构成投标产品的部件、组件或零件的，则该报价产品不给予价格扣除。</w:t>
      </w:r>
    </w:p>
    <w:p>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④中小企业划分标准详见工业和信息化部、国家统计局、国家发展和改革委员会、财政部出台的工信部联企业[2011]300 号文件。（如最低报价者为中小企业，则投标基准价按该报价者扣除优惠比例后的价格计入）</w:t>
      </w:r>
    </w:p>
    <w:p>
      <w:pPr>
        <w:spacing w:line="460" w:lineRule="exact"/>
        <w:ind w:firstLine="480" w:firstLineChars="200"/>
        <w:rPr>
          <w:rFonts w:hint="eastAsia" w:ascii="宋体" w:hAnsi="宋体" w:cs="宋体"/>
          <w:b w:val="0"/>
          <w:bCs w:val="0"/>
          <w:kern w:val="2"/>
          <w:sz w:val="24"/>
          <w:szCs w:val="24"/>
          <w:highlight w:val="none"/>
          <w:lang w:val="en-US" w:eastAsia="zh-CN" w:bidi="ar-SA"/>
        </w:rPr>
      </w:pPr>
      <w:r>
        <w:rPr>
          <w:rFonts w:hint="eastAsia" w:ascii="宋体" w:hAnsi="宋体" w:eastAsia="宋体" w:cs="宋体"/>
          <w:sz w:val="24"/>
          <w:szCs w:val="24"/>
          <w:highlight w:val="none"/>
        </w:rPr>
        <w:t>c)监狱企业视同为小型和微型企业，享受相关优惠政策。监狱企业参加政府采购活动时，应当提供由省级以上监狱管理局、戒毒管理局（含新疆生产建设兵团）出具的属于监狱企业的证明文件。</w:t>
      </w:r>
    </w:p>
    <w:p>
      <w:pPr>
        <w:numPr>
          <w:ilvl w:val="0"/>
          <w:numId w:val="21"/>
        </w:numPr>
        <w:spacing w:line="44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关于投标人瑕疵滞后发现的处理规则</w:t>
      </w:r>
    </w:p>
    <w:p>
      <w:pPr>
        <w:numPr>
          <w:numId w:val="0"/>
        </w:numPr>
        <w:spacing w:line="44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1）、无论基于何种原因，本应作无效、废标处理的情形即便未被及时发现而使该投标人进入初审、详细评审或者其他后续程序，包括已经签约的情形，一旦任何时候被发现存在上述情形，评标委员会均有权随时视情况决定是否取消该投标人的此前评议结果，或者随时视情况决定该投标无效，并有权决定采取相应的补救、纠正措施；若通过补救、纠正措施能够满足采购文件或者采购人要求，评标委员会可以维持既定结果并要求中标供应商出具补救、纠正措施等承诺，由此产生的一切费用由中标供应商承担；若通过补救、纠正措施仍不能够满足采购文件或者招标要求，评标委员会应出具取消该投标人的此前评议结果的复审结论，并予以废标，由此产生的一切损失均由中标供应商承担。</w:t>
      </w:r>
    </w:p>
    <w:p>
      <w:pPr>
        <w:numPr>
          <w:numId w:val="0"/>
        </w:numPr>
        <w:spacing w:line="440" w:lineRule="exact"/>
        <w:ind w:firstLine="480"/>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评标委员会认定中标供应商投标无效、废标或者中标供应商的此前评议结果被取消的，采购文件规定由评标委员会直接确定中标供应商，应予以废标，由采购人依法重新组织招标。出现上述情形的一切损失均由取消入围资格的投标人承担。</w:t>
      </w:r>
    </w:p>
    <w:p>
      <w:pPr>
        <w:numPr>
          <w:numId w:val="0"/>
        </w:numPr>
        <w:spacing w:line="440" w:lineRule="exact"/>
        <w:rPr>
          <w:rFonts w:hint="eastAsia" w:ascii="宋体" w:hAnsi="宋体" w:eastAsia="宋体" w:cs="宋体"/>
          <w:b/>
          <w:bCs/>
          <w:sz w:val="32"/>
          <w:szCs w:val="32"/>
          <w:highlight w:val="none"/>
          <w:lang w:val="en-US" w:eastAsia="zh-CN"/>
        </w:rPr>
      </w:pPr>
      <w:r>
        <w:rPr>
          <w:rFonts w:hint="eastAsia" w:ascii="宋体" w:hAnsi="宋体" w:cs="宋体"/>
          <w:b w:val="0"/>
          <w:bCs w:val="0"/>
          <w:kern w:val="2"/>
          <w:sz w:val="24"/>
          <w:szCs w:val="24"/>
          <w:highlight w:val="none"/>
          <w:lang w:val="en-US" w:eastAsia="zh-CN" w:bidi="ar-SA"/>
        </w:rPr>
        <w:t>2）、若已经超过质疑期限而没有发现的，签署了相关的合同之后才发现存在上述情形，经评标委员会再行审查认为其在技术、必要资质等方面并不存在问题而仅属商务方面存在瑕疵的问题，若取消该投标人的此前评议结果或者辞去类似的处理措施将对本次招标采购更为不利的情形（包括：予以无效投标、废标或者采取类似的处理措施将使本次招标采购成本大幅上升、延误期限以至可能给采购人造成较大损失的），维持中标结果的，采购人必须出具维持中标结果以及是否要求提供特别担保金的书面意见，评标委员会可以维持既定结果并要求中标供应商出具提供特别担保金的书面意见，评标委员会可以维持既定结果并要求中标供应商出具提供特别担保金承诺，以承担可能产生的赔偿责任；若中标供应商拒绝提供特别担保金、实际提供的担保金额不足或者采购人不同意维持中标结果的，评标委员会应当决定取消中标供应商的此前评议结果或者类似的处理措施，由此产生的一切损失均由中标供应商承担。</w:t>
      </w:r>
    </w:p>
    <w:p>
      <w:pPr>
        <w:numPr>
          <w:numId w:val="0"/>
        </w:num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六、合同的授予</w:t>
      </w:r>
    </w:p>
    <w:p>
      <w:pPr>
        <w:spacing w:line="460" w:lineRule="exact"/>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28.合同授予标准</w:t>
      </w:r>
    </w:p>
    <w:p>
      <w:pPr>
        <w:spacing w:line="460" w:lineRule="exact"/>
        <w:ind w:firstLine="480" w:firstLineChars="200"/>
        <w:rPr>
          <w:rFonts w:hint="eastAsia" w:ascii="仿宋_GB2312" w:hAnsi="宋体" w:eastAsia="仿宋_GB2312"/>
          <w:sz w:val="24"/>
          <w:highlight w:val="none"/>
        </w:rPr>
      </w:pPr>
      <w:r>
        <w:rPr>
          <w:rFonts w:hint="eastAsia" w:ascii="宋体" w:hAnsi="宋体" w:cs="宋体"/>
          <w:b w:val="0"/>
          <w:bCs w:val="0"/>
          <w:kern w:val="2"/>
          <w:sz w:val="24"/>
          <w:szCs w:val="24"/>
          <w:highlight w:val="none"/>
          <w:lang w:val="en-US" w:eastAsia="zh-CN" w:bidi="ar-SA"/>
        </w:rPr>
        <w:t>本项目的招标合同将授予按本须知第27条规定确定的成交单位。</w:t>
      </w:r>
    </w:p>
    <w:p>
      <w:pPr>
        <w:spacing w:line="460" w:lineRule="exact"/>
        <w:rPr>
          <w:rFonts w:hint="eastAsia" w:ascii="仿宋_GB2312" w:hAnsi="宋体" w:eastAsia="仿宋_GB2312"/>
          <w:sz w:val="24"/>
          <w:highlight w:val="none"/>
          <w:lang w:val="en-US" w:eastAsia="zh-CN"/>
        </w:rPr>
      </w:pPr>
      <w:r>
        <w:rPr>
          <w:rFonts w:hint="eastAsia" w:ascii="宋体" w:hAnsi="宋体" w:cs="宋体"/>
          <w:b/>
          <w:bCs/>
          <w:sz w:val="24"/>
          <w:szCs w:val="24"/>
          <w:highlight w:val="none"/>
          <w:lang w:val="en-US" w:eastAsia="zh-CN"/>
        </w:rPr>
        <w:t>29.</w:t>
      </w:r>
      <w:r>
        <w:rPr>
          <w:rFonts w:hint="eastAsia" w:ascii="宋体" w:hAnsi="宋体" w:cs="宋体"/>
          <w:b w:val="0"/>
          <w:bCs w:val="0"/>
          <w:kern w:val="2"/>
          <w:sz w:val="24"/>
          <w:szCs w:val="24"/>
          <w:highlight w:val="none"/>
          <w:lang w:val="en-US" w:eastAsia="zh-CN" w:bidi="ar-SA"/>
        </w:rPr>
        <w:t>采购人在授予合同前，根据实际需求有权在法定范围内对货物进行适当调整并按供货数量据实结算。</w:t>
      </w:r>
    </w:p>
    <w:p>
      <w:pPr>
        <w:spacing w:line="440" w:lineRule="exact"/>
        <w:rPr>
          <w:rFonts w:hint="eastAsia" w:ascii="仿宋" w:hAnsi="仿宋" w:eastAsia="仿宋"/>
          <w:b/>
          <w:bCs/>
          <w:color w:val="000000"/>
          <w:sz w:val="24"/>
          <w:highlight w:val="none"/>
        </w:rPr>
      </w:pPr>
      <w:r>
        <w:rPr>
          <w:rFonts w:hint="eastAsia" w:ascii="仿宋" w:hAnsi="仿宋" w:eastAsia="仿宋"/>
          <w:b/>
          <w:bCs/>
          <w:color w:val="000000"/>
          <w:sz w:val="24"/>
          <w:highlight w:val="none"/>
        </w:rPr>
        <w:t>30.</w:t>
      </w:r>
      <w:r>
        <w:rPr>
          <w:rFonts w:hint="eastAsia" w:ascii="宋体" w:hAnsi="宋体" w:cs="宋体"/>
          <w:b/>
          <w:bCs/>
          <w:color w:val="000000"/>
          <w:sz w:val="24"/>
          <w:highlight w:val="none"/>
          <w:lang w:eastAsia="zh-CN"/>
        </w:rPr>
        <w:t>成交</w:t>
      </w:r>
      <w:r>
        <w:rPr>
          <w:rFonts w:hint="eastAsia" w:ascii="宋体" w:hAnsi="宋体" w:eastAsia="宋体" w:cs="宋体"/>
          <w:b/>
          <w:bCs/>
          <w:color w:val="000000"/>
          <w:sz w:val="24"/>
          <w:highlight w:val="none"/>
        </w:rPr>
        <w:t>通知书</w:t>
      </w:r>
    </w:p>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1）在投标有效期期满之前，采购代理机构将以书面形式通知成交单位，确认其投标已被接受；</w:t>
      </w:r>
    </w:p>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2）成交通知书将是合同的一个组成部分。</w:t>
      </w:r>
    </w:p>
    <w:p>
      <w:pPr>
        <w:spacing w:line="460" w:lineRule="exact"/>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 xml:space="preserve">31.签订合同 </w:t>
      </w:r>
    </w:p>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1) 成交人应按成交通知书指定的时间、地点与采购人签订合同。采购文件、成交人的投标文件及澄清文件等，均</w:t>
      </w:r>
      <w:r>
        <w:rPr>
          <w:rFonts w:hint="eastAsia" w:ascii="宋体" w:hAnsi="宋体" w:cs="宋体"/>
          <w:b w:val="0"/>
          <w:bCs w:val="0"/>
          <w:kern w:val="2"/>
          <w:sz w:val="24"/>
          <w:szCs w:val="24"/>
          <w:highlight w:val="none"/>
          <w:lang w:val="en-US" w:eastAsia="zh-CN" w:bidi="ar-SA"/>
        </w:rPr>
        <w:t>为签订合同的依据。合同盖章生效。本项目临沂市兰山区卫生和计划生育局仅作为项目发起及组织招标主体机构，合同的签订主体为临沂市兰山区朱保镇卫生院。本项目的合同签订、执行由临沂市兰山区朱保镇卫生院，付款由临沂市兰山区卫生和计划生育局进行。</w:t>
      </w:r>
    </w:p>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2) 成交人无正当理由未在规定时间内与采购人签订合同的，采购人有权建议取消其成交资格，并按相关法律法规规定处理。</w:t>
      </w:r>
    </w:p>
    <w:p>
      <w:pPr>
        <w:spacing w:line="460" w:lineRule="exact"/>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32.付款方式</w:t>
      </w:r>
    </w:p>
    <w:p>
      <w:pPr>
        <w:spacing w:line="460" w:lineRule="exact"/>
        <w:rPr>
          <w:rFonts w:hint="eastAsia" w:ascii="宋体" w:hAnsi="宋体" w:eastAsia="宋体" w:cs="宋体"/>
          <w:color w:val="3366FF"/>
          <w:sz w:val="24"/>
          <w:szCs w:val="24"/>
          <w:highlight w:val="none"/>
          <w:lang w:val="en-US" w:eastAsia="zh-CN"/>
        </w:rPr>
      </w:pPr>
      <w:r>
        <w:rPr>
          <w:rFonts w:hint="eastAsia" w:ascii="宋体" w:hAnsi="宋体" w:eastAsia="宋体" w:cs="宋体"/>
          <w:color w:val="3366FF"/>
          <w:sz w:val="24"/>
          <w:szCs w:val="24"/>
          <w:highlight w:val="none"/>
          <w:lang w:val="en-US" w:eastAsia="zh-CN"/>
        </w:rPr>
        <w:t>货到安装施工完毕验收合格交付使用并经审计后，付合同总价款的90%，余款作为质保金12个月后无质量问题一次性无息付清。</w:t>
      </w:r>
    </w:p>
    <w:p>
      <w:pPr>
        <w:spacing w:line="460" w:lineRule="exact"/>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33.成交服务费</w:t>
      </w:r>
    </w:p>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1）暂时严格按照国家计委《招标代理服务收费管理暂行办法》（计价格【2002】1980号）和国家发展改革委办公厅《关于招标代理服务收费有关问题的通知》（发改办价格【2003】857号）等有关规定执行，由成交供应商支付。在签订供货合同前支付给采购代理机构（按成交额计算）。</w:t>
      </w:r>
    </w:p>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2）如果成交人没有按照本须知第31款的规定去做，采购人将取消成交决定，并没收其投标保证金。在此情况下，采购人可将授予下一个成交候选人，或重新招标。</w:t>
      </w:r>
    </w:p>
    <w:p>
      <w:pPr>
        <w:spacing w:line="460" w:lineRule="exact"/>
        <w:rPr>
          <w:rFonts w:hint="eastAsia" w:ascii="宋体" w:hAnsi="宋体" w:cs="宋体"/>
          <w:b/>
          <w:bCs/>
          <w:sz w:val="24"/>
          <w:szCs w:val="24"/>
          <w:highlight w:val="none"/>
          <w:lang w:val="en-US" w:eastAsia="zh-CN"/>
        </w:rPr>
      </w:pPr>
    </w:p>
    <w:p>
      <w:pPr>
        <w:spacing w:line="460" w:lineRule="exact"/>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34.公证费</w:t>
      </w:r>
    </w:p>
    <w:p>
      <w:pPr>
        <w:spacing w:line="460" w:lineRule="exact"/>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本次项目公证费由成交供应商支付。</w:t>
      </w:r>
    </w:p>
    <w:p>
      <w:pPr>
        <w:widowControl w:val="0"/>
        <w:numPr>
          <w:numId w:val="0"/>
        </w:numPr>
        <w:spacing w:line="440" w:lineRule="exact"/>
        <w:jc w:val="both"/>
        <w:rPr>
          <w:rFonts w:hint="eastAsia" w:ascii="仿宋_GB2312" w:hAnsi="宋体" w:eastAsia="仿宋_GB2312"/>
          <w:sz w:val="24"/>
          <w:highlight w:val="none"/>
        </w:rPr>
      </w:pPr>
      <w:r>
        <w:rPr>
          <w:rFonts w:hint="eastAsia" w:ascii="仿宋_GB2312" w:hAnsi="宋体" w:eastAsia="仿宋_GB2312"/>
          <w:sz w:val="24"/>
          <w:highlight w:val="none"/>
        </w:rPr>
        <w:br w:type="page"/>
      </w:r>
    </w:p>
    <w:p>
      <w:pPr>
        <w:numPr>
          <w:numId w:val="0"/>
        </w:numPr>
        <w:jc w:val="center"/>
        <w:rPr>
          <w:rFonts w:ascii="宋体" w:hAnsi="宋体"/>
          <w:b/>
          <w:bCs/>
          <w:color w:val="000000"/>
          <w:sz w:val="28"/>
          <w:szCs w:val="28"/>
          <w:highlight w:val="none"/>
        </w:rPr>
      </w:pPr>
      <w:r>
        <w:rPr>
          <w:rFonts w:hint="eastAsia" w:ascii="宋体" w:hAnsi="宋体" w:eastAsia="宋体" w:cs="宋体"/>
          <w:b/>
          <w:bCs/>
          <w:sz w:val="32"/>
          <w:szCs w:val="32"/>
          <w:highlight w:val="none"/>
          <w:lang w:val="en-US" w:eastAsia="zh-CN"/>
        </w:rPr>
        <w:t>第三章  项目说明及要求</w:t>
      </w:r>
      <w:bookmarkStart w:id="0" w:name="_Toc460053488"/>
      <w:r>
        <w:rPr>
          <w:rFonts w:ascii="宋体" w:hAnsi="宋体"/>
          <w:b/>
          <w:bCs/>
          <w:color w:val="000000"/>
          <w:sz w:val="28"/>
          <w:szCs w:val="28"/>
          <w:highlight w:val="none"/>
        </w:rPr>
        <w:tab/>
      </w:r>
    </w:p>
    <w:p>
      <w:pPr>
        <w:spacing w:line="480" w:lineRule="exact"/>
        <w:ind w:left="561" w:leftChars="267"/>
        <w:rPr>
          <w:rFonts w:ascii="宋体" w:hAnsi="宋体"/>
          <w:color w:val="000000"/>
          <w:sz w:val="28"/>
          <w:highlight w:val="none"/>
        </w:rPr>
      </w:pPr>
      <w:r>
        <w:rPr>
          <w:rFonts w:hint="eastAsia" w:ascii="宋体" w:hAnsi="宋体"/>
          <w:bCs/>
          <w:color w:val="000000"/>
          <w:sz w:val="28"/>
          <w:szCs w:val="28"/>
          <w:highlight w:val="none"/>
        </w:rPr>
        <w:t>本项目说明中</w:t>
      </w:r>
      <w:r>
        <w:rPr>
          <w:rFonts w:hint="eastAsia" w:ascii="宋体" w:hAnsi="宋体"/>
          <w:color w:val="000000"/>
          <w:sz w:val="28"/>
          <w:highlight w:val="none"/>
        </w:rPr>
        <w:t>所提出的技术规格、要求、参数和标准仅系说明并非进行限制，投标人可提出替代的技术规格、要求、参数和标准，并在技术文件中详细说明，但该替代应不低于招标文件的规定和要求。</w:t>
      </w:r>
    </w:p>
    <w:p>
      <w:pPr>
        <w:spacing w:line="480" w:lineRule="exact"/>
        <w:rPr>
          <w:rFonts w:ascii="宋体" w:hAnsi="宋体"/>
          <w:color w:val="000000"/>
          <w:sz w:val="28"/>
          <w:highlight w:val="none"/>
        </w:rPr>
      </w:pPr>
      <w:r>
        <w:rPr>
          <w:rFonts w:hint="eastAsia" w:ascii="宋体" w:hAnsi="宋体"/>
          <w:color w:val="000000"/>
          <w:sz w:val="28"/>
          <w:highlight w:val="none"/>
        </w:rPr>
        <w:t>1、废水水量、水质</w:t>
      </w:r>
    </w:p>
    <w:p>
      <w:pPr>
        <w:spacing w:line="480" w:lineRule="exact"/>
        <w:ind w:firstLine="560" w:firstLineChars="200"/>
        <w:rPr>
          <w:rFonts w:ascii="宋体" w:hAnsi="宋体"/>
          <w:color w:val="000000"/>
          <w:sz w:val="28"/>
          <w:highlight w:val="none"/>
        </w:rPr>
      </w:pPr>
      <w:r>
        <w:rPr>
          <w:rFonts w:hint="eastAsia" w:ascii="宋体" w:hAnsi="宋体"/>
          <w:color w:val="000000"/>
          <w:sz w:val="28"/>
          <w:highlight w:val="none"/>
        </w:rPr>
        <w:t>医疗废水设计处理规模80m³/天。</w:t>
      </w:r>
    </w:p>
    <w:p>
      <w:pPr>
        <w:spacing w:line="480" w:lineRule="exact"/>
        <w:ind w:left="701" w:leftChars="267" w:hanging="140" w:hangingChars="50"/>
        <w:rPr>
          <w:rFonts w:ascii="宋体" w:hAnsi="宋体"/>
          <w:color w:val="000000"/>
          <w:sz w:val="28"/>
          <w:highlight w:val="none"/>
        </w:rPr>
      </w:pPr>
      <w:r>
        <w:rPr>
          <w:rFonts w:hint="eastAsia" w:ascii="宋体" w:hAnsi="宋体"/>
          <w:color w:val="000000"/>
          <w:sz w:val="28"/>
          <w:highlight w:val="none"/>
        </w:rPr>
        <w:t>设计废水水质为CODcr≤400mg/l，BOD5≤200mg/l，氨氮≤30mg/l，SS≤200mg/l，粪大肠菌群数≤10000MPN/l，pH6-9。</w:t>
      </w:r>
    </w:p>
    <w:p>
      <w:pPr>
        <w:spacing w:line="480" w:lineRule="exact"/>
        <w:rPr>
          <w:rFonts w:ascii="宋体" w:hAnsi="宋体"/>
          <w:color w:val="000000"/>
          <w:sz w:val="28"/>
          <w:highlight w:val="none"/>
        </w:rPr>
      </w:pPr>
      <w:r>
        <w:rPr>
          <w:rFonts w:hint="eastAsia" w:ascii="宋体" w:hAnsi="宋体"/>
          <w:color w:val="000000"/>
          <w:sz w:val="28"/>
          <w:highlight w:val="none"/>
        </w:rPr>
        <w:t>2、处理后排放水质标准</w:t>
      </w:r>
    </w:p>
    <w:p>
      <w:pPr>
        <w:spacing w:line="480" w:lineRule="exact"/>
        <w:rPr>
          <w:rFonts w:ascii="宋体" w:hAnsi="宋体"/>
          <w:color w:val="000000"/>
          <w:sz w:val="28"/>
          <w:highlight w:val="none"/>
        </w:rPr>
      </w:pPr>
      <w:r>
        <w:rPr>
          <w:rFonts w:hint="eastAsia" w:ascii="宋体" w:hAnsi="宋体"/>
          <w:color w:val="000000"/>
          <w:sz w:val="28"/>
          <w:highlight w:val="none"/>
        </w:rPr>
        <w:t>出水达到《医疗机构水污染物排放标准》（GB18466-2005）表2标准。</w:t>
      </w:r>
    </w:p>
    <w:p>
      <w:pPr>
        <w:spacing w:line="480" w:lineRule="exact"/>
        <w:rPr>
          <w:rFonts w:ascii="宋体" w:hAnsi="宋体"/>
          <w:color w:val="000000"/>
          <w:sz w:val="28"/>
          <w:highlight w:val="none"/>
        </w:rPr>
      </w:pPr>
      <w:r>
        <w:rPr>
          <w:rFonts w:hint="eastAsia" w:ascii="宋体" w:hAnsi="宋体"/>
          <w:color w:val="000000"/>
          <w:sz w:val="28"/>
          <w:highlight w:val="none"/>
        </w:rPr>
        <w:t xml:space="preserve">具体如下：                                                        </w:t>
      </w:r>
    </w:p>
    <w:tbl>
      <w:tblPr>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0"/>
        <w:gridCol w:w="2835"/>
        <w:gridCol w:w="1081"/>
        <w:gridCol w:w="761"/>
        <w:gridCol w:w="2203"/>
        <w:gridCol w:w="14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spacing w:line="480" w:lineRule="exact"/>
              <w:rPr>
                <w:rFonts w:ascii="宋体" w:hAnsi="宋体"/>
                <w:b/>
                <w:color w:val="000000"/>
                <w:sz w:val="28"/>
                <w:highlight w:val="none"/>
              </w:rPr>
            </w:pPr>
            <w:r>
              <w:rPr>
                <w:rFonts w:ascii="宋体" w:hAnsi="宋体"/>
                <w:b/>
                <w:color w:val="000000"/>
                <w:sz w:val="28"/>
                <w:highlight w:val="none"/>
              </w:rPr>
              <w:t>序号</w:t>
            </w:r>
          </w:p>
        </w:tc>
        <w:tc>
          <w:tcPr>
            <w:tcW w:w="2835" w:type="dxa"/>
            <w:vAlign w:val="center"/>
          </w:tcPr>
          <w:p>
            <w:pPr>
              <w:spacing w:line="480" w:lineRule="exact"/>
              <w:rPr>
                <w:rFonts w:ascii="宋体" w:hAnsi="宋体"/>
                <w:b/>
                <w:color w:val="000000"/>
                <w:sz w:val="28"/>
                <w:highlight w:val="none"/>
              </w:rPr>
            </w:pPr>
            <w:r>
              <w:rPr>
                <w:rFonts w:ascii="宋体" w:hAnsi="宋体"/>
                <w:b/>
                <w:color w:val="000000"/>
                <w:sz w:val="28"/>
                <w:highlight w:val="none"/>
              </w:rPr>
              <w:t>控制项目</w:t>
            </w:r>
          </w:p>
        </w:tc>
        <w:tc>
          <w:tcPr>
            <w:tcW w:w="1081" w:type="dxa"/>
            <w:vAlign w:val="center"/>
          </w:tcPr>
          <w:p>
            <w:pPr>
              <w:spacing w:line="480" w:lineRule="exact"/>
              <w:rPr>
                <w:rFonts w:ascii="宋体" w:hAnsi="宋体"/>
                <w:b/>
                <w:color w:val="000000"/>
                <w:sz w:val="28"/>
                <w:highlight w:val="none"/>
              </w:rPr>
            </w:pPr>
            <w:r>
              <w:rPr>
                <w:rFonts w:ascii="宋体" w:hAnsi="宋体"/>
                <w:b/>
                <w:color w:val="000000"/>
                <w:sz w:val="28"/>
                <w:highlight w:val="none"/>
              </w:rPr>
              <w:t>排放标准</w:t>
            </w:r>
          </w:p>
        </w:tc>
        <w:tc>
          <w:tcPr>
            <w:tcW w:w="761" w:type="dxa"/>
            <w:vAlign w:val="center"/>
          </w:tcPr>
          <w:p>
            <w:pPr>
              <w:spacing w:line="480" w:lineRule="exact"/>
              <w:rPr>
                <w:rFonts w:ascii="宋体" w:hAnsi="宋体"/>
                <w:b/>
                <w:color w:val="000000"/>
                <w:sz w:val="28"/>
                <w:highlight w:val="none"/>
              </w:rPr>
            </w:pPr>
            <w:r>
              <w:rPr>
                <w:rFonts w:ascii="宋体" w:hAnsi="宋体"/>
                <w:b/>
                <w:color w:val="000000"/>
                <w:sz w:val="28"/>
                <w:highlight w:val="none"/>
              </w:rPr>
              <w:t>序号</w:t>
            </w:r>
          </w:p>
        </w:tc>
        <w:tc>
          <w:tcPr>
            <w:tcW w:w="2203" w:type="dxa"/>
            <w:vAlign w:val="center"/>
          </w:tcPr>
          <w:p>
            <w:pPr>
              <w:spacing w:line="480" w:lineRule="exact"/>
              <w:rPr>
                <w:rFonts w:ascii="宋体" w:hAnsi="宋体"/>
                <w:b/>
                <w:color w:val="000000"/>
                <w:sz w:val="28"/>
                <w:highlight w:val="none"/>
              </w:rPr>
            </w:pPr>
            <w:r>
              <w:rPr>
                <w:rFonts w:ascii="宋体" w:hAnsi="宋体"/>
                <w:b/>
                <w:color w:val="000000"/>
                <w:sz w:val="28"/>
                <w:highlight w:val="none"/>
              </w:rPr>
              <w:t>控制项目</w:t>
            </w:r>
          </w:p>
        </w:tc>
        <w:tc>
          <w:tcPr>
            <w:tcW w:w="1482" w:type="dxa"/>
            <w:vAlign w:val="center"/>
          </w:tcPr>
          <w:p>
            <w:pPr>
              <w:spacing w:line="480" w:lineRule="exact"/>
              <w:rPr>
                <w:rFonts w:ascii="宋体" w:hAnsi="宋体"/>
                <w:b/>
                <w:color w:val="000000"/>
                <w:sz w:val="28"/>
                <w:highlight w:val="none"/>
              </w:rPr>
            </w:pPr>
            <w:r>
              <w:rPr>
                <w:rFonts w:ascii="宋体" w:hAnsi="宋体"/>
                <w:b/>
                <w:color w:val="000000"/>
                <w:sz w:val="28"/>
                <w:highlight w:val="none"/>
              </w:rPr>
              <w:t>排放标准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spacing w:line="480" w:lineRule="exact"/>
              <w:rPr>
                <w:rFonts w:ascii="宋体" w:hAnsi="宋体"/>
                <w:color w:val="000000"/>
                <w:sz w:val="28"/>
                <w:highlight w:val="none"/>
              </w:rPr>
            </w:pPr>
            <w:r>
              <w:rPr>
                <w:rFonts w:ascii="宋体" w:hAnsi="宋体"/>
                <w:color w:val="000000"/>
                <w:sz w:val="28"/>
                <w:highlight w:val="none"/>
              </w:rPr>
              <w:t>1</w:t>
            </w:r>
          </w:p>
        </w:tc>
        <w:tc>
          <w:tcPr>
            <w:tcW w:w="2835" w:type="dxa"/>
            <w:vAlign w:val="center"/>
          </w:tcPr>
          <w:p>
            <w:pPr>
              <w:spacing w:line="480" w:lineRule="exact"/>
              <w:rPr>
                <w:rFonts w:ascii="宋体" w:hAnsi="宋体"/>
                <w:color w:val="000000"/>
                <w:sz w:val="28"/>
                <w:highlight w:val="none"/>
              </w:rPr>
            </w:pPr>
            <w:r>
              <w:rPr>
                <w:rFonts w:ascii="宋体" w:hAnsi="宋体"/>
                <w:color w:val="000000"/>
                <w:sz w:val="28"/>
                <w:highlight w:val="none"/>
              </w:rPr>
              <w:t>粪大肠菌群数（MPN/L）</w:t>
            </w:r>
          </w:p>
        </w:tc>
        <w:tc>
          <w:tcPr>
            <w:tcW w:w="1081" w:type="dxa"/>
            <w:vAlign w:val="center"/>
          </w:tcPr>
          <w:p>
            <w:pPr>
              <w:spacing w:line="480" w:lineRule="exact"/>
              <w:rPr>
                <w:rFonts w:ascii="宋体" w:hAnsi="宋体"/>
                <w:color w:val="000000"/>
                <w:sz w:val="28"/>
                <w:highlight w:val="none"/>
              </w:rPr>
            </w:pPr>
            <w:r>
              <w:rPr>
                <w:rFonts w:ascii="宋体" w:hAnsi="宋体"/>
                <w:color w:val="000000"/>
                <w:sz w:val="28"/>
                <w:highlight w:val="none"/>
              </w:rPr>
              <w:t>500</w:t>
            </w:r>
          </w:p>
        </w:tc>
        <w:tc>
          <w:tcPr>
            <w:tcW w:w="761" w:type="dxa"/>
            <w:vAlign w:val="center"/>
          </w:tcPr>
          <w:p>
            <w:pPr>
              <w:spacing w:line="480" w:lineRule="exact"/>
              <w:rPr>
                <w:rFonts w:ascii="宋体" w:hAnsi="宋体"/>
                <w:color w:val="000000"/>
                <w:sz w:val="28"/>
                <w:highlight w:val="none"/>
              </w:rPr>
            </w:pPr>
            <w:r>
              <w:rPr>
                <w:rFonts w:ascii="宋体" w:hAnsi="宋体"/>
                <w:color w:val="000000"/>
                <w:sz w:val="28"/>
                <w:highlight w:val="none"/>
              </w:rPr>
              <w:t>13</w:t>
            </w:r>
          </w:p>
        </w:tc>
        <w:tc>
          <w:tcPr>
            <w:tcW w:w="2203" w:type="dxa"/>
            <w:vAlign w:val="center"/>
          </w:tcPr>
          <w:p>
            <w:pPr>
              <w:spacing w:line="480" w:lineRule="exact"/>
              <w:rPr>
                <w:rFonts w:ascii="宋体" w:hAnsi="宋体"/>
                <w:color w:val="000000"/>
                <w:sz w:val="28"/>
                <w:highlight w:val="none"/>
              </w:rPr>
            </w:pPr>
            <w:r>
              <w:rPr>
                <w:rFonts w:ascii="宋体" w:hAnsi="宋体"/>
                <w:color w:val="000000"/>
                <w:sz w:val="28"/>
                <w:highlight w:val="none"/>
              </w:rPr>
              <w:t>挥发酚（mg/L）</w:t>
            </w:r>
          </w:p>
        </w:tc>
        <w:tc>
          <w:tcPr>
            <w:tcW w:w="1482" w:type="dxa"/>
            <w:vAlign w:val="center"/>
          </w:tcPr>
          <w:p>
            <w:pPr>
              <w:spacing w:line="480" w:lineRule="exact"/>
              <w:rPr>
                <w:rFonts w:ascii="宋体" w:hAnsi="宋体"/>
                <w:color w:val="000000"/>
                <w:sz w:val="28"/>
                <w:highlight w:val="none"/>
              </w:rPr>
            </w:pPr>
            <w:r>
              <w:rPr>
                <w:rFonts w:ascii="宋体" w:hAnsi="宋体"/>
                <w:color w:val="000000"/>
                <w:sz w:val="28"/>
                <w:highlight w:val="none"/>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spacing w:line="480" w:lineRule="exact"/>
              <w:rPr>
                <w:rFonts w:ascii="宋体" w:hAnsi="宋体"/>
                <w:color w:val="000000"/>
                <w:sz w:val="28"/>
                <w:highlight w:val="none"/>
              </w:rPr>
            </w:pPr>
            <w:r>
              <w:rPr>
                <w:rFonts w:ascii="宋体" w:hAnsi="宋体"/>
                <w:color w:val="000000"/>
                <w:sz w:val="28"/>
                <w:highlight w:val="none"/>
              </w:rPr>
              <w:t>2</w:t>
            </w:r>
          </w:p>
        </w:tc>
        <w:tc>
          <w:tcPr>
            <w:tcW w:w="2835" w:type="dxa"/>
            <w:vAlign w:val="center"/>
          </w:tcPr>
          <w:p>
            <w:pPr>
              <w:spacing w:line="480" w:lineRule="exact"/>
              <w:rPr>
                <w:rFonts w:ascii="宋体" w:hAnsi="宋体"/>
                <w:color w:val="000000"/>
                <w:sz w:val="28"/>
                <w:highlight w:val="none"/>
              </w:rPr>
            </w:pPr>
            <w:r>
              <w:rPr>
                <w:rFonts w:ascii="宋体" w:hAnsi="宋体"/>
                <w:color w:val="000000"/>
                <w:sz w:val="28"/>
                <w:highlight w:val="none"/>
              </w:rPr>
              <w:t>肠道致病菌</w:t>
            </w:r>
          </w:p>
        </w:tc>
        <w:tc>
          <w:tcPr>
            <w:tcW w:w="1081" w:type="dxa"/>
            <w:vAlign w:val="center"/>
          </w:tcPr>
          <w:p>
            <w:pPr>
              <w:spacing w:line="480" w:lineRule="exact"/>
              <w:rPr>
                <w:rFonts w:ascii="宋体" w:hAnsi="宋体"/>
                <w:color w:val="000000"/>
                <w:sz w:val="28"/>
                <w:highlight w:val="none"/>
              </w:rPr>
            </w:pPr>
            <w:r>
              <w:rPr>
                <w:rFonts w:ascii="宋体" w:hAnsi="宋体"/>
                <w:color w:val="000000"/>
                <w:sz w:val="28"/>
                <w:highlight w:val="none"/>
              </w:rPr>
              <w:t>不得检出</w:t>
            </w:r>
          </w:p>
        </w:tc>
        <w:tc>
          <w:tcPr>
            <w:tcW w:w="761" w:type="dxa"/>
            <w:vAlign w:val="center"/>
          </w:tcPr>
          <w:p>
            <w:pPr>
              <w:spacing w:line="480" w:lineRule="exact"/>
              <w:rPr>
                <w:rFonts w:ascii="宋体" w:hAnsi="宋体"/>
                <w:color w:val="000000"/>
                <w:sz w:val="28"/>
                <w:highlight w:val="none"/>
              </w:rPr>
            </w:pPr>
            <w:r>
              <w:rPr>
                <w:rFonts w:ascii="宋体" w:hAnsi="宋体"/>
                <w:color w:val="000000"/>
                <w:sz w:val="28"/>
                <w:highlight w:val="none"/>
              </w:rPr>
              <w:t>14</w:t>
            </w:r>
          </w:p>
        </w:tc>
        <w:tc>
          <w:tcPr>
            <w:tcW w:w="2203" w:type="dxa"/>
            <w:vAlign w:val="center"/>
          </w:tcPr>
          <w:p>
            <w:pPr>
              <w:spacing w:line="480" w:lineRule="exact"/>
              <w:rPr>
                <w:rFonts w:ascii="宋体" w:hAnsi="宋体"/>
                <w:color w:val="000000"/>
                <w:sz w:val="28"/>
                <w:highlight w:val="none"/>
              </w:rPr>
            </w:pPr>
            <w:r>
              <w:rPr>
                <w:rFonts w:ascii="宋体" w:hAnsi="宋体"/>
                <w:color w:val="000000"/>
                <w:sz w:val="28"/>
                <w:highlight w:val="none"/>
              </w:rPr>
              <w:t>总氰化物（mg/L）</w:t>
            </w:r>
          </w:p>
        </w:tc>
        <w:tc>
          <w:tcPr>
            <w:tcW w:w="1482" w:type="dxa"/>
            <w:vAlign w:val="center"/>
          </w:tcPr>
          <w:p>
            <w:pPr>
              <w:spacing w:line="480" w:lineRule="exact"/>
              <w:rPr>
                <w:rFonts w:ascii="宋体" w:hAnsi="宋体"/>
                <w:color w:val="000000"/>
                <w:sz w:val="28"/>
                <w:highlight w:val="none"/>
              </w:rPr>
            </w:pPr>
            <w:r>
              <w:rPr>
                <w:rFonts w:ascii="宋体" w:hAnsi="宋体"/>
                <w:color w:val="000000"/>
                <w:sz w:val="28"/>
                <w:highlight w:val="none"/>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spacing w:line="480" w:lineRule="exact"/>
              <w:rPr>
                <w:rFonts w:ascii="宋体" w:hAnsi="宋体"/>
                <w:color w:val="000000"/>
                <w:sz w:val="28"/>
                <w:highlight w:val="none"/>
              </w:rPr>
            </w:pPr>
            <w:r>
              <w:rPr>
                <w:rFonts w:ascii="宋体" w:hAnsi="宋体"/>
                <w:color w:val="000000"/>
                <w:sz w:val="28"/>
                <w:highlight w:val="none"/>
              </w:rPr>
              <w:t>3</w:t>
            </w:r>
          </w:p>
        </w:tc>
        <w:tc>
          <w:tcPr>
            <w:tcW w:w="2835" w:type="dxa"/>
            <w:vAlign w:val="center"/>
          </w:tcPr>
          <w:p>
            <w:pPr>
              <w:spacing w:line="480" w:lineRule="exact"/>
              <w:rPr>
                <w:rFonts w:ascii="宋体" w:hAnsi="宋体"/>
                <w:color w:val="000000"/>
                <w:sz w:val="28"/>
                <w:highlight w:val="none"/>
              </w:rPr>
            </w:pPr>
            <w:r>
              <w:rPr>
                <w:rFonts w:ascii="宋体" w:hAnsi="宋体"/>
                <w:color w:val="000000"/>
                <w:sz w:val="28"/>
                <w:highlight w:val="none"/>
              </w:rPr>
              <w:t>肠道病毒</w:t>
            </w:r>
          </w:p>
        </w:tc>
        <w:tc>
          <w:tcPr>
            <w:tcW w:w="1081" w:type="dxa"/>
            <w:vAlign w:val="center"/>
          </w:tcPr>
          <w:p>
            <w:pPr>
              <w:spacing w:line="480" w:lineRule="exact"/>
              <w:rPr>
                <w:rFonts w:ascii="宋体" w:hAnsi="宋体"/>
                <w:color w:val="000000"/>
                <w:sz w:val="28"/>
                <w:highlight w:val="none"/>
              </w:rPr>
            </w:pPr>
            <w:r>
              <w:rPr>
                <w:rFonts w:ascii="宋体" w:hAnsi="宋体"/>
                <w:color w:val="000000"/>
                <w:sz w:val="28"/>
                <w:highlight w:val="none"/>
              </w:rPr>
              <w:t>不得检出</w:t>
            </w:r>
          </w:p>
        </w:tc>
        <w:tc>
          <w:tcPr>
            <w:tcW w:w="761" w:type="dxa"/>
            <w:vAlign w:val="center"/>
          </w:tcPr>
          <w:p>
            <w:pPr>
              <w:spacing w:line="480" w:lineRule="exact"/>
              <w:rPr>
                <w:rFonts w:ascii="宋体" w:hAnsi="宋体"/>
                <w:color w:val="000000"/>
                <w:sz w:val="28"/>
                <w:highlight w:val="none"/>
              </w:rPr>
            </w:pPr>
            <w:r>
              <w:rPr>
                <w:rFonts w:ascii="宋体" w:hAnsi="宋体"/>
                <w:color w:val="000000"/>
                <w:sz w:val="28"/>
                <w:highlight w:val="none"/>
              </w:rPr>
              <w:t>15</w:t>
            </w:r>
          </w:p>
        </w:tc>
        <w:tc>
          <w:tcPr>
            <w:tcW w:w="2203" w:type="dxa"/>
            <w:vAlign w:val="center"/>
          </w:tcPr>
          <w:p>
            <w:pPr>
              <w:spacing w:line="480" w:lineRule="exact"/>
              <w:rPr>
                <w:rFonts w:ascii="宋体" w:hAnsi="宋体"/>
                <w:color w:val="000000"/>
                <w:sz w:val="28"/>
                <w:highlight w:val="none"/>
              </w:rPr>
            </w:pPr>
            <w:r>
              <w:rPr>
                <w:rFonts w:ascii="宋体" w:hAnsi="宋体"/>
                <w:color w:val="000000"/>
                <w:sz w:val="28"/>
                <w:highlight w:val="none"/>
              </w:rPr>
              <w:t>总汞（mg/L）</w:t>
            </w:r>
          </w:p>
        </w:tc>
        <w:tc>
          <w:tcPr>
            <w:tcW w:w="1482" w:type="dxa"/>
            <w:vAlign w:val="center"/>
          </w:tcPr>
          <w:p>
            <w:pPr>
              <w:spacing w:line="480" w:lineRule="exact"/>
              <w:rPr>
                <w:rFonts w:ascii="宋体" w:hAnsi="宋体"/>
                <w:color w:val="000000"/>
                <w:sz w:val="28"/>
                <w:highlight w:val="none"/>
              </w:rPr>
            </w:pPr>
            <w:r>
              <w:rPr>
                <w:rFonts w:ascii="宋体" w:hAnsi="宋体"/>
                <w:color w:val="000000"/>
                <w:sz w:val="28"/>
                <w:highlight w:val="none"/>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spacing w:line="480" w:lineRule="exact"/>
              <w:rPr>
                <w:rFonts w:ascii="宋体" w:hAnsi="宋体"/>
                <w:color w:val="000000"/>
                <w:sz w:val="28"/>
                <w:highlight w:val="none"/>
              </w:rPr>
            </w:pPr>
            <w:r>
              <w:rPr>
                <w:rFonts w:ascii="宋体" w:hAnsi="宋体"/>
                <w:color w:val="000000"/>
                <w:sz w:val="28"/>
                <w:highlight w:val="none"/>
              </w:rPr>
              <w:t>4</w:t>
            </w:r>
          </w:p>
        </w:tc>
        <w:tc>
          <w:tcPr>
            <w:tcW w:w="2835" w:type="dxa"/>
            <w:vAlign w:val="center"/>
          </w:tcPr>
          <w:p>
            <w:pPr>
              <w:spacing w:line="480" w:lineRule="exact"/>
              <w:rPr>
                <w:rFonts w:ascii="宋体" w:hAnsi="宋体"/>
                <w:color w:val="000000"/>
                <w:sz w:val="28"/>
                <w:highlight w:val="none"/>
              </w:rPr>
            </w:pPr>
            <w:r>
              <w:rPr>
                <w:rFonts w:ascii="宋体" w:hAnsi="宋体"/>
                <w:color w:val="000000"/>
                <w:sz w:val="28"/>
                <w:highlight w:val="none"/>
              </w:rPr>
              <w:t>pH</w:t>
            </w:r>
          </w:p>
        </w:tc>
        <w:tc>
          <w:tcPr>
            <w:tcW w:w="1081" w:type="dxa"/>
            <w:vAlign w:val="center"/>
          </w:tcPr>
          <w:p>
            <w:pPr>
              <w:spacing w:line="480" w:lineRule="exact"/>
              <w:rPr>
                <w:rFonts w:ascii="宋体" w:hAnsi="宋体"/>
                <w:color w:val="000000"/>
                <w:sz w:val="28"/>
                <w:highlight w:val="none"/>
              </w:rPr>
            </w:pPr>
            <w:r>
              <w:rPr>
                <w:rFonts w:ascii="宋体" w:hAnsi="宋体"/>
                <w:color w:val="000000"/>
                <w:sz w:val="28"/>
                <w:highlight w:val="none"/>
              </w:rPr>
              <w:t>6-9</w:t>
            </w:r>
          </w:p>
        </w:tc>
        <w:tc>
          <w:tcPr>
            <w:tcW w:w="761" w:type="dxa"/>
            <w:vAlign w:val="center"/>
          </w:tcPr>
          <w:p>
            <w:pPr>
              <w:spacing w:line="480" w:lineRule="exact"/>
              <w:rPr>
                <w:rFonts w:ascii="宋体" w:hAnsi="宋体"/>
                <w:color w:val="000000"/>
                <w:sz w:val="28"/>
                <w:highlight w:val="none"/>
              </w:rPr>
            </w:pPr>
            <w:r>
              <w:rPr>
                <w:rFonts w:ascii="宋体" w:hAnsi="宋体"/>
                <w:color w:val="000000"/>
                <w:sz w:val="28"/>
                <w:highlight w:val="none"/>
              </w:rPr>
              <w:t>16</w:t>
            </w:r>
          </w:p>
        </w:tc>
        <w:tc>
          <w:tcPr>
            <w:tcW w:w="2203" w:type="dxa"/>
            <w:vAlign w:val="center"/>
          </w:tcPr>
          <w:p>
            <w:pPr>
              <w:spacing w:line="480" w:lineRule="exact"/>
              <w:rPr>
                <w:rFonts w:ascii="宋体" w:hAnsi="宋体"/>
                <w:color w:val="000000"/>
                <w:sz w:val="28"/>
                <w:highlight w:val="none"/>
              </w:rPr>
            </w:pPr>
            <w:r>
              <w:rPr>
                <w:rFonts w:ascii="宋体" w:hAnsi="宋体"/>
                <w:color w:val="000000"/>
                <w:sz w:val="28"/>
                <w:highlight w:val="none"/>
              </w:rPr>
              <w:t>总镉（mg/L）</w:t>
            </w:r>
          </w:p>
        </w:tc>
        <w:tc>
          <w:tcPr>
            <w:tcW w:w="1482" w:type="dxa"/>
            <w:vAlign w:val="center"/>
          </w:tcPr>
          <w:p>
            <w:pPr>
              <w:spacing w:line="480" w:lineRule="exact"/>
              <w:rPr>
                <w:rFonts w:ascii="宋体" w:hAnsi="宋体"/>
                <w:color w:val="000000"/>
                <w:sz w:val="28"/>
                <w:highlight w:val="none"/>
              </w:rPr>
            </w:pPr>
            <w:r>
              <w:rPr>
                <w:rFonts w:ascii="宋体" w:hAnsi="宋体"/>
                <w:color w:val="000000"/>
                <w:sz w:val="28"/>
                <w:highlight w:val="none"/>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spacing w:line="480" w:lineRule="exact"/>
              <w:rPr>
                <w:rFonts w:ascii="宋体" w:hAnsi="宋体"/>
                <w:color w:val="000000"/>
                <w:sz w:val="28"/>
                <w:highlight w:val="none"/>
              </w:rPr>
            </w:pPr>
            <w:r>
              <w:rPr>
                <w:rFonts w:ascii="宋体" w:hAnsi="宋体"/>
                <w:color w:val="000000"/>
                <w:sz w:val="28"/>
                <w:highlight w:val="none"/>
              </w:rPr>
              <w:t>5</w:t>
            </w:r>
          </w:p>
        </w:tc>
        <w:tc>
          <w:tcPr>
            <w:tcW w:w="2835" w:type="dxa"/>
            <w:vAlign w:val="center"/>
          </w:tcPr>
          <w:p>
            <w:pPr>
              <w:spacing w:line="480" w:lineRule="exact"/>
              <w:rPr>
                <w:rFonts w:ascii="宋体" w:hAnsi="宋体"/>
                <w:color w:val="000000"/>
                <w:sz w:val="28"/>
                <w:highlight w:val="none"/>
              </w:rPr>
            </w:pPr>
            <w:r>
              <w:rPr>
                <w:rFonts w:ascii="宋体" w:hAnsi="宋体"/>
                <w:color w:val="000000"/>
                <w:sz w:val="28"/>
                <w:highlight w:val="none"/>
              </w:rPr>
              <w:t>化学需氧量（COD）</w:t>
            </w:r>
          </w:p>
          <w:p>
            <w:pPr>
              <w:spacing w:line="480" w:lineRule="exact"/>
              <w:rPr>
                <w:rFonts w:ascii="宋体" w:hAnsi="宋体"/>
                <w:color w:val="000000"/>
                <w:sz w:val="28"/>
                <w:highlight w:val="none"/>
              </w:rPr>
            </w:pPr>
            <w:r>
              <w:rPr>
                <w:rFonts w:ascii="宋体" w:hAnsi="宋体"/>
                <w:color w:val="000000"/>
                <w:sz w:val="28"/>
                <w:highlight w:val="none"/>
              </w:rPr>
              <w:t>浓度 （mg/L）</w:t>
            </w:r>
          </w:p>
          <w:p>
            <w:pPr>
              <w:spacing w:line="480" w:lineRule="exact"/>
              <w:rPr>
                <w:rFonts w:ascii="宋体" w:hAnsi="宋体"/>
                <w:color w:val="000000"/>
                <w:sz w:val="28"/>
                <w:highlight w:val="none"/>
              </w:rPr>
            </w:pPr>
            <w:r>
              <w:rPr>
                <w:rFonts w:ascii="宋体" w:hAnsi="宋体"/>
                <w:color w:val="000000"/>
                <w:sz w:val="28"/>
                <w:highlight w:val="none"/>
              </w:rPr>
              <w:t>最高允许排放负荷（g/床位）</w:t>
            </w:r>
          </w:p>
        </w:tc>
        <w:tc>
          <w:tcPr>
            <w:tcW w:w="1081" w:type="dxa"/>
            <w:vAlign w:val="center"/>
          </w:tcPr>
          <w:p>
            <w:pPr>
              <w:spacing w:line="480" w:lineRule="exact"/>
              <w:rPr>
                <w:rFonts w:ascii="宋体" w:hAnsi="宋体"/>
                <w:color w:val="000000"/>
                <w:sz w:val="28"/>
                <w:highlight w:val="none"/>
              </w:rPr>
            </w:pPr>
          </w:p>
          <w:p>
            <w:pPr>
              <w:spacing w:line="480" w:lineRule="exact"/>
              <w:rPr>
                <w:rFonts w:ascii="宋体" w:hAnsi="宋体"/>
                <w:color w:val="000000"/>
                <w:sz w:val="28"/>
                <w:highlight w:val="none"/>
              </w:rPr>
            </w:pPr>
            <w:r>
              <w:rPr>
                <w:rFonts w:ascii="宋体" w:hAnsi="宋体"/>
                <w:color w:val="000000"/>
                <w:sz w:val="28"/>
                <w:highlight w:val="none"/>
              </w:rPr>
              <w:t>60</w:t>
            </w:r>
          </w:p>
          <w:p>
            <w:pPr>
              <w:spacing w:line="480" w:lineRule="exact"/>
              <w:rPr>
                <w:rFonts w:ascii="宋体" w:hAnsi="宋体"/>
                <w:color w:val="000000"/>
                <w:sz w:val="28"/>
                <w:highlight w:val="none"/>
              </w:rPr>
            </w:pPr>
            <w:r>
              <w:rPr>
                <w:rFonts w:ascii="宋体" w:hAnsi="宋体"/>
                <w:color w:val="000000"/>
                <w:sz w:val="28"/>
                <w:highlight w:val="none"/>
              </w:rPr>
              <w:t>60</w:t>
            </w:r>
          </w:p>
        </w:tc>
        <w:tc>
          <w:tcPr>
            <w:tcW w:w="761" w:type="dxa"/>
            <w:vAlign w:val="center"/>
          </w:tcPr>
          <w:p>
            <w:pPr>
              <w:spacing w:line="480" w:lineRule="exact"/>
              <w:rPr>
                <w:rFonts w:ascii="宋体" w:hAnsi="宋体"/>
                <w:color w:val="000000"/>
                <w:sz w:val="28"/>
                <w:highlight w:val="none"/>
              </w:rPr>
            </w:pPr>
            <w:r>
              <w:rPr>
                <w:rFonts w:ascii="宋体" w:hAnsi="宋体"/>
                <w:color w:val="000000"/>
                <w:sz w:val="28"/>
                <w:highlight w:val="none"/>
              </w:rPr>
              <w:t>17</w:t>
            </w:r>
          </w:p>
        </w:tc>
        <w:tc>
          <w:tcPr>
            <w:tcW w:w="2203" w:type="dxa"/>
            <w:vAlign w:val="center"/>
          </w:tcPr>
          <w:p>
            <w:pPr>
              <w:spacing w:line="480" w:lineRule="exact"/>
              <w:rPr>
                <w:rFonts w:ascii="宋体" w:hAnsi="宋体"/>
                <w:color w:val="000000"/>
                <w:sz w:val="28"/>
                <w:highlight w:val="none"/>
              </w:rPr>
            </w:pPr>
            <w:r>
              <w:rPr>
                <w:rFonts w:ascii="宋体" w:hAnsi="宋体"/>
                <w:color w:val="000000"/>
                <w:sz w:val="28"/>
                <w:highlight w:val="none"/>
              </w:rPr>
              <w:t>总铬（mg/L）</w:t>
            </w:r>
          </w:p>
        </w:tc>
        <w:tc>
          <w:tcPr>
            <w:tcW w:w="1482" w:type="dxa"/>
            <w:vAlign w:val="center"/>
          </w:tcPr>
          <w:p>
            <w:pPr>
              <w:spacing w:line="480" w:lineRule="exact"/>
              <w:rPr>
                <w:rFonts w:ascii="宋体" w:hAnsi="宋体"/>
                <w:color w:val="000000"/>
                <w:sz w:val="28"/>
                <w:highlight w:val="none"/>
              </w:rPr>
            </w:pPr>
            <w:r>
              <w:rPr>
                <w:rFonts w:ascii="宋体" w:hAnsi="宋体"/>
                <w:color w:val="000000"/>
                <w:sz w:val="28"/>
                <w:highlight w:val="none"/>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spacing w:line="480" w:lineRule="exact"/>
              <w:rPr>
                <w:rFonts w:ascii="宋体" w:hAnsi="宋体"/>
                <w:color w:val="000000"/>
                <w:sz w:val="28"/>
                <w:highlight w:val="none"/>
              </w:rPr>
            </w:pPr>
            <w:r>
              <w:rPr>
                <w:rFonts w:ascii="宋体" w:hAnsi="宋体"/>
                <w:color w:val="000000"/>
                <w:sz w:val="28"/>
                <w:highlight w:val="none"/>
              </w:rPr>
              <w:t>6</w:t>
            </w:r>
          </w:p>
        </w:tc>
        <w:tc>
          <w:tcPr>
            <w:tcW w:w="2835" w:type="dxa"/>
            <w:vAlign w:val="center"/>
          </w:tcPr>
          <w:p>
            <w:pPr>
              <w:spacing w:line="480" w:lineRule="exact"/>
              <w:rPr>
                <w:rFonts w:ascii="宋体" w:hAnsi="宋体"/>
                <w:color w:val="000000"/>
                <w:sz w:val="28"/>
                <w:highlight w:val="none"/>
              </w:rPr>
            </w:pPr>
            <w:r>
              <w:rPr>
                <w:rFonts w:ascii="宋体" w:hAnsi="宋体"/>
                <w:color w:val="000000"/>
                <w:sz w:val="28"/>
                <w:highlight w:val="none"/>
              </w:rPr>
              <w:t>生化需氧量（BOD）</w:t>
            </w:r>
          </w:p>
          <w:p>
            <w:pPr>
              <w:spacing w:line="480" w:lineRule="exact"/>
              <w:rPr>
                <w:rFonts w:ascii="宋体" w:hAnsi="宋体"/>
                <w:color w:val="000000"/>
                <w:sz w:val="28"/>
                <w:highlight w:val="none"/>
              </w:rPr>
            </w:pPr>
            <w:r>
              <w:rPr>
                <w:rFonts w:ascii="宋体" w:hAnsi="宋体"/>
                <w:color w:val="000000"/>
                <w:sz w:val="28"/>
                <w:highlight w:val="none"/>
              </w:rPr>
              <w:t>浓度 （mg/L）</w:t>
            </w:r>
          </w:p>
          <w:p>
            <w:pPr>
              <w:spacing w:line="480" w:lineRule="exact"/>
              <w:rPr>
                <w:rFonts w:ascii="宋体" w:hAnsi="宋体"/>
                <w:color w:val="000000"/>
                <w:sz w:val="28"/>
                <w:highlight w:val="none"/>
              </w:rPr>
            </w:pPr>
            <w:r>
              <w:rPr>
                <w:rFonts w:ascii="宋体" w:hAnsi="宋体"/>
                <w:color w:val="000000"/>
                <w:sz w:val="28"/>
                <w:highlight w:val="none"/>
              </w:rPr>
              <w:t>最高允许排放负荷（g/床位）</w:t>
            </w:r>
          </w:p>
        </w:tc>
        <w:tc>
          <w:tcPr>
            <w:tcW w:w="1081" w:type="dxa"/>
            <w:vAlign w:val="center"/>
          </w:tcPr>
          <w:p>
            <w:pPr>
              <w:spacing w:line="480" w:lineRule="exact"/>
              <w:rPr>
                <w:rFonts w:ascii="宋体" w:hAnsi="宋体"/>
                <w:color w:val="000000"/>
                <w:sz w:val="28"/>
                <w:highlight w:val="none"/>
              </w:rPr>
            </w:pPr>
          </w:p>
          <w:p>
            <w:pPr>
              <w:spacing w:line="480" w:lineRule="exact"/>
              <w:rPr>
                <w:rFonts w:ascii="宋体" w:hAnsi="宋体"/>
                <w:color w:val="000000"/>
                <w:sz w:val="28"/>
                <w:highlight w:val="none"/>
              </w:rPr>
            </w:pPr>
            <w:r>
              <w:rPr>
                <w:rFonts w:ascii="宋体" w:hAnsi="宋体"/>
                <w:color w:val="000000"/>
                <w:sz w:val="28"/>
                <w:highlight w:val="none"/>
              </w:rPr>
              <w:t>20</w:t>
            </w:r>
          </w:p>
          <w:p>
            <w:pPr>
              <w:spacing w:line="480" w:lineRule="exact"/>
              <w:rPr>
                <w:rFonts w:ascii="宋体" w:hAnsi="宋体"/>
                <w:color w:val="000000"/>
                <w:sz w:val="28"/>
                <w:highlight w:val="none"/>
              </w:rPr>
            </w:pPr>
            <w:r>
              <w:rPr>
                <w:rFonts w:ascii="宋体" w:hAnsi="宋体"/>
                <w:color w:val="000000"/>
                <w:sz w:val="28"/>
                <w:highlight w:val="none"/>
              </w:rPr>
              <w:t>20</w:t>
            </w:r>
          </w:p>
        </w:tc>
        <w:tc>
          <w:tcPr>
            <w:tcW w:w="761" w:type="dxa"/>
            <w:vAlign w:val="center"/>
          </w:tcPr>
          <w:p>
            <w:pPr>
              <w:spacing w:line="480" w:lineRule="exact"/>
              <w:rPr>
                <w:rFonts w:ascii="宋体" w:hAnsi="宋体"/>
                <w:color w:val="000000"/>
                <w:sz w:val="28"/>
                <w:highlight w:val="none"/>
              </w:rPr>
            </w:pPr>
            <w:r>
              <w:rPr>
                <w:rFonts w:ascii="宋体" w:hAnsi="宋体"/>
                <w:color w:val="000000"/>
                <w:sz w:val="28"/>
                <w:highlight w:val="none"/>
              </w:rPr>
              <w:t>18</w:t>
            </w:r>
          </w:p>
        </w:tc>
        <w:tc>
          <w:tcPr>
            <w:tcW w:w="2203" w:type="dxa"/>
            <w:vAlign w:val="center"/>
          </w:tcPr>
          <w:p>
            <w:pPr>
              <w:spacing w:line="480" w:lineRule="exact"/>
              <w:rPr>
                <w:rFonts w:ascii="宋体" w:hAnsi="宋体"/>
                <w:color w:val="000000"/>
                <w:sz w:val="28"/>
                <w:highlight w:val="none"/>
              </w:rPr>
            </w:pPr>
            <w:r>
              <w:rPr>
                <w:rFonts w:ascii="宋体" w:hAnsi="宋体"/>
                <w:color w:val="000000"/>
                <w:sz w:val="28"/>
                <w:highlight w:val="none"/>
              </w:rPr>
              <w:t>六价铬（mg/L）</w:t>
            </w:r>
          </w:p>
        </w:tc>
        <w:tc>
          <w:tcPr>
            <w:tcW w:w="1482" w:type="dxa"/>
            <w:vAlign w:val="center"/>
          </w:tcPr>
          <w:p>
            <w:pPr>
              <w:spacing w:line="480" w:lineRule="exact"/>
              <w:rPr>
                <w:rFonts w:ascii="宋体" w:hAnsi="宋体"/>
                <w:color w:val="000000"/>
                <w:sz w:val="28"/>
                <w:highlight w:val="none"/>
              </w:rPr>
            </w:pPr>
            <w:r>
              <w:rPr>
                <w:rFonts w:ascii="宋体" w:hAnsi="宋体"/>
                <w:color w:val="000000"/>
                <w:sz w:val="28"/>
                <w:highlight w:val="none"/>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spacing w:line="480" w:lineRule="exact"/>
              <w:rPr>
                <w:rFonts w:ascii="宋体" w:hAnsi="宋体"/>
                <w:color w:val="000000"/>
                <w:sz w:val="28"/>
                <w:highlight w:val="none"/>
              </w:rPr>
            </w:pPr>
            <w:r>
              <w:rPr>
                <w:rFonts w:ascii="宋体" w:hAnsi="宋体"/>
                <w:color w:val="000000"/>
                <w:sz w:val="28"/>
                <w:highlight w:val="none"/>
              </w:rPr>
              <w:t>7</w:t>
            </w:r>
          </w:p>
        </w:tc>
        <w:tc>
          <w:tcPr>
            <w:tcW w:w="2835" w:type="dxa"/>
            <w:vAlign w:val="center"/>
          </w:tcPr>
          <w:p>
            <w:pPr>
              <w:spacing w:line="480" w:lineRule="exact"/>
              <w:rPr>
                <w:rFonts w:ascii="宋体" w:hAnsi="宋体"/>
                <w:color w:val="000000"/>
                <w:sz w:val="28"/>
                <w:highlight w:val="none"/>
              </w:rPr>
            </w:pPr>
            <w:r>
              <w:rPr>
                <w:rFonts w:ascii="宋体" w:hAnsi="宋体"/>
                <w:color w:val="000000"/>
                <w:sz w:val="28"/>
                <w:highlight w:val="none"/>
              </w:rPr>
              <w:t>悬浮物（SS）</w:t>
            </w:r>
          </w:p>
          <w:p>
            <w:pPr>
              <w:spacing w:line="480" w:lineRule="exact"/>
              <w:rPr>
                <w:rFonts w:ascii="宋体" w:hAnsi="宋体"/>
                <w:color w:val="000000"/>
                <w:sz w:val="28"/>
                <w:highlight w:val="none"/>
              </w:rPr>
            </w:pPr>
            <w:r>
              <w:rPr>
                <w:rFonts w:ascii="宋体" w:hAnsi="宋体"/>
                <w:color w:val="000000"/>
                <w:sz w:val="28"/>
                <w:highlight w:val="none"/>
              </w:rPr>
              <w:t>浓度 （mg/L）</w:t>
            </w:r>
          </w:p>
          <w:p>
            <w:pPr>
              <w:spacing w:line="480" w:lineRule="exact"/>
              <w:rPr>
                <w:rFonts w:ascii="宋体" w:hAnsi="宋体"/>
                <w:color w:val="000000"/>
                <w:sz w:val="28"/>
                <w:highlight w:val="none"/>
              </w:rPr>
            </w:pPr>
            <w:r>
              <w:rPr>
                <w:rFonts w:ascii="宋体" w:hAnsi="宋体"/>
                <w:color w:val="000000"/>
                <w:sz w:val="28"/>
                <w:highlight w:val="none"/>
              </w:rPr>
              <w:t>最高允许排放负荷（g/床位）</w:t>
            </w:r>
          </w:p>
        </w:tc>
        <w:tc>
          <w:tcPr>
            <w:tcW w:w="1081" w:type="dxa"/>
            <w:vAlign w:val="center"/>
          </w:tcPr>
          <w:p>
            <w:pPr>
              <w:spacing w:line="480" w:lineRule="exact"/>
              <w:rPr>
                <w:rFonts w:ascii="宋体" w:hAnsi="宋体"/>
                <w:color w:val="000000"/>
                <w:sz w:val="28"/>
                <w:highlight w:val="none"/>
              </w:rPr>
            </w:pPr>
          </w:p>
          <w:p>
            <w:pPr>
              <w:spacing w:line="480" w:lineRule="exact"/>
              <w:rPr>
                <w:rFonts w:ascii="宋体" w:hAnsi="宋体"/>
                <w:color w:val="000000"/>
                <w:sz w:val="28"/>
                <w:highlight w:val="none"/>
              </w:rPr>
            </w:pPr>
            <w:r>
              <w:rPr>
                <w:rFonts w:ascii="宋体" w:hAnsi="宋体"/>
                <w:color w:val="000000"/>
                <w:sz w:val="28"/>
                <w:highlight w:val="none"/>
              </w:rPr>
              <w:t>20</w:t>
            </w:r>
          </w:p>
          <w:p>
            <w:pPr>
              <w:spacing w:line="480" w:lineRule="exact"/>
              <w:rPr>
                <w:rFonts w:ascii="宋体" w:hAnsi="宋体"/>
                <w:color w:val="000000"/>
                <w:sz w:val="28"/>
                <w:highlight w:val="none"/>
              </w:rPr>
            </w:pPr>
            <w:r>
              <w:rPr>
                <w:rFonts w:ascii="宋体" w:hAnsi="宋体"/>
                <w:color w:val="000000"/>
                <w:sz w:val="28"/>
                <w:highlight w:val="none"/>
              </w:rPr>
              <w:t>20</w:t>
            </w:r>
          </w:p>
        </w:tc>
        <w:tc>
          <w:tcPr>
            <w:tcW w:w="761" w:type="dxa"/>
            <w:vAlign w:val="center"/>
          </w:tcPr>
          <w:p>
            <w:pPr>
              <w:spacing w:line="480" w:lineRule="exact"/>
              <w:rPr>
                <w:rFonts w:ascii="宋体" w:hAnsi="宋体"/>
                <w:color w:val="000000"/>
                <w:sz w:val="28"/>
                <w:highlight w:val="none"/>
              </w:rPr>
            </w:pPr>
            <w:r>
              <w:rPr>
                <w:rFonts w:ascii="宋体" w:hAnsi="宋体"/>
                <w:bCs/>
                <w:color w:val="000000"/>
                <w:sz w:val="28"/>
                <w:highlight w:val="none"/>
              </w:rPr>
              <w:t>19</w:t>
            </w:r>
          </w:p>
        </w:tc>
        <w:tc>
          <w:tcPr>
            <w:tcW w:w="2203" w:type="dxa"/>
            <w:vAlign w:val="center"/>
          </w:tcPr>
          <w:p>
            <w:pPr>
              <w:spacing w:line="480" w:lineRule="exact"/>
              <w:rPr>
                <w:rFonts w:ascii="宋体" w:hAnsi="宋体"/>
                <w:color w:val="000000"/>
                <w:sz w:val="28"/>
                <w:highlight w:val="none"/>
              </w:rPr>
            </w:pPr>
            <w:r>
              <w:rPr>
                <w:rFonts w:ascii="宋体" w:hAnsi="宋体"/>
                <w:bCs/>
                <w:color w:val="000000"/>
                <w:sz w:val="28"/>
                <w:highlight w:val="none"/>
              </w:rPr>
              <w:t>总砷（mg/L）</w:t>
            </w:r>
          </w:p>
        </w:tc>
        <w:tc>
          <w:tcPr>
            <w:tcW w:w="1482" w:type="dxa"/>
            <w:vAlign w:val="center"/>
          </w:tcPr>
          <w:p>
            <w:pPr>
              <w:spacing w:line="480" w:lineRule="exact"/>
              <w:rPr>
                <w:rFonts w:ascii="宋体" w:hAnsi="宋体"/>
                <w:color w:val="000000"/>
                <w:sz w:val="28"/>
                <w:highlight w:val="none"/>
              </w:rPr>
            </w:pPr>
            <w:r>
              <w:rPr>
                <w:rFonts w:ascii="宋体" w:hAnsi="宋体"/>
                <w:bCs/>
                <w:color w:val="000000"/>
                <w:sz w:val="28"/>
                <w:highlight w:val="none"/>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spacing w:line="480" w:lineRule="exact"/>
              <w:rPr>
                <w:rFonts w:ascii="宋体" w:hAnsi="宋体"/>
                <w:color w:val="000000"/>
                <w:sz w:val="28"/>
                <w:highlight w:val="none"/>
              </w:rPr>
            </w:pPr>
            <w:r>
              <w:rPr>
                <w:rFonts w:ascii="宋体" w:hAnsi="宋体"/>
                <w:color w:val="000000"/>
                <w:sz w:val="28"/>
                <w:highlight w:val="none"/>
              </w:rPr>
              <w:t>8</w:t>
            </w:r>
          </w:p>
        </w:tc>
        <w:tc>
          <w:tcPr>
            <w:tcW w:w="2835" w:type="dxa"/>
            <w:vAlign w:val="center"/>
          </w:tcPr>
          <w:p>
            <w:pPr>
              <w:spacing w:line="480" w:lineRule="exact"/>
              <w:rPr>
                <w:rFonts w:ascii="宋体" w:hAnsi="宋体"/>
                <w:color w:val="000000"/>
                <w:sz w:val="28"/>
                <w:highlight w:val="none"/>
              </w:rPr>
            </w:pPr>
            <w:r>
              <w:rPr>
                <w:rFonts w:ascii="宋体" w:hAnsi="宋体"/>
                <w:color w:val="000000"/>
                <w:sz w:val="28"/>
                <w:highlight w:val="none"/>
              </w:rPr>
              <w:t>氨氮（mg/L）</w:t>
            </w:r>
          </w:p>
        </w:tc>
        <w:tc>
          <w:tcPr>
            <w:tcW w:w="1081" w:type="dxa"/>
            <w:vAlign w:val="center"/>
          </w:tcPr>
          <w:p>
            <w:pPr>
              <w:spacing w:line="480" w:lineRule="exact"/>
              <w:rPr>
                <w:rFonts w:ascii="宋体" w:hAnsi="宋体"/>
                <w:color w:val="000000"/>
                <w:sz w:val="28"/>
                <w:highlight w:val="none"/>
              </w:rPr>
            </w:pPr>
            <w:r>
              <w:rPr>
                <w:rFonts w:ascii="宋体" w:hAnsi="宋体"/>
                <w:color w:val="000000"/>
                <w:sz w:val="28"/>
                <w:highlight w:val="none"/>
              </w:rPr>
              <w:t>15</w:t>
            </w:r>
          </w:p>
        </w:tc>
        <w:tc>
          <w:tcPr>
            <w:tcW w:w="761" w:type="dxa"/>
            <w:vAlign w:val="center"/>
          </w:tcPr>
          <w:p>
            <w:pPr>
              <w:spacing w:line="480" w:lineRule="exact"/>
              <w:rPr>
                <w:rFonts w:ascii="宋体" w:hAnsi="宋体"/>
                <w:color w:val="000000"/>
                <w:sz w:val="28"/>
                <w:highlight w:val="none"/>
              </w:rPr>
            </w:pPr>
            <w:r>
              <w:rPr>
                <w:rFonts w:ascii="宋体" w:hAnsi="宋体"/>
                <w:bCs/>
                <w:color w:val="000000"/>
                <w:sz w:val="28"/>
                <w:highlight w:val="none"/>
              </w:rPr>
              <w:t>20</w:t>
            </w:r>
          </w:p>
        </w:tc>
        <w:tc>
          <w:tcPr>
            <w:tcW w:w="2203" w:type="dxa"/>
            <w:vAlign w:val="center"/>
          </w:tcPr>
          <w:p>
            <w:pPr>
              <w:spacing w:line="480" w:lineRule="exact"/>
              <w:rPr>
                <w:rFonts w:ascii="宋体" w:hAnsi="宋体"/>
                <w:color w:val="000000"/>
                <w:sz w:val="28"/>
                <w:highlight w:val="none"/>
              </w:rPr>
            </w:pPr>
            <w:r>
              <w:rPr>
                <w:rFonts w:ascii="宋体" w:hAnsi="宋体"/>
                <w:bCs/>
                <w:color w:val="000000"/>
                <w:sz w:val="28"/>
                <w:highlight w:val="none"/>
              </w:rPr>
              <w:t>总铅（mg/L）</w:t>
            </w:r>
          </w:p>
        </w:tc>
        <w:tc>
          <w:tcPr>
            <w:tcW w:w="1482" w:type="dxa"/>
            <w:vAlign w:val="center"/>
          </w:tcPr>
          <w:p>
            <w:pPr>
              <w:spacing w:line="480" w:lineRule="exact"/>
              <w:rPr>
                <w:rFonts w:ascii="宋体" w:hAnsi="宋体"/>
                <w:color w:val="000000"/>
                <w:sz w:val="28"/>
                <w:highlight w:val="none"/>
              </w:rPr>
            </w:pPr>
            <w:r>
              <w:rPr>
                <w:rFonts w:ascii="宋体" w:hAnsi="宋体"/>
                <w:bCs/>
                <w:color w:val="000000"/>
                <w:sz w:val="28"/>
                <w:highlight w:val="none"/>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spacing w:line="480" w:lineRule="exact"/>
              <w:rPr>
                <w:rFonts w:ascii="宋体" w:hAnsi="宋体"/>
                <w:color w:val="000000"/>
                <w:sz w:val="28"/>
                <w:highlight w:val="none"/>
              </w:rPr>
            </w:pPr>
            <w:r>
              <w:rPr>
                <w:rFonts w:ascii="宋体" w:hAnsi="宋体"/>
                <w:color w:val="000000"/>
                <w:sz w:val="28"/>
                <w:highlight w:val="none"/>
              </w:rPr>
              <w:t>9</w:t>
            </w:r>
          </w:p>
        </w:tc>
        <w:tc>
          <w:tcPr>
            <w:tcW w:w="2835" w:type="dxa"/>
            <w:vAlign w:val="center"/>
          </w:tcPr>
          <w:p>
            <w:pPr>
              <w:spacing w:line="480" w:lineRule="exact"/>
              <w:rPr>
                <w:rFonts w:ascii="宋体" w:hAnsi="宋体"/>
                <w:color w:val="000000"/>
                <w:sz w:val="28"/>
                <w:highlight w:val="none"/>
              </w:rPr>
            </w:pPr>
            <w:r>
              <w:rPr>
                <w:rFonts w:ascii="宋体" w:hAnsi="宋体"/>
                <w:color w:val="000000"/>
                <w:sz w:val="28"/>
                <w:highlight w:val="none"/>
              </w:rPr>
              <w:t>动植物油（mg/L）</w:t>
            </w:r>
          </w:p>
        </w:tc>
        <w:tc>
          <w:tcPr>
            <w:tcW w:w="1081" w:type="dxa"/>
            <w:vAlign w:val="center"/>
          </w:tcPr>
          <w:p>
            <w:pPr>
              <w:spacing w:line="480" w:lineRule="exact"/>
              <w:rPr>
                <w:rFonts w:ascii="宋体" w:hAnsi="宋体"/>
                <w:color w:val="000000"/>
                <w:sz w:val="28"/>
                <w:highlight w:val="none"/>
              </w:rPr>
            </w:pPr>
            <w:r>
              <w:rPr>
                <w:rFonts w:ascii="宋体" w:hAnsi="宋体"/>
                <w:color w:val="000000"/>
                <w:sz w:val="28"/>
                <w:highlight w:val="none"/>
              </w:rPr>
              <w:t>5</w:t>
            </w:r>
          </w:p>
        </w:tc>
        <w:tc>
          <w:tcPr>
            <w:tcW w:w="761" w:type="dxa"/>
            <w:vAlign w:val="center"/>
          </w:tcPr>
          <w:p>
            <w:pPr>
              <w:spacing w:line="480" w:lineRule="exact"/>
              <w:rPr>
                <w:rFonts w:ascii="宋体" w:hAnsi="宋体"/>
                <w:color w:val="000000"/>
                <w:sz w:val="28"/>
                <w:highlight w:val="none"/>
              </w:rPr>
            </w:pPr>
            <w:r>
              <w:rPr>
                <w:rFonts w:ascii="宋体" w:hAnsi="宋体"/>
                <w:bCs/>
                <w:color w:val="000000"/>
                <w:sz w:val="28"/>
                <w:highlight w:val="none"/>
              </w:rPr>
              <w:t>21</w:t>
            </w:r>
          </w:p>
        </w:tc>
        <w:tc>
          <w:tcPr>
            <w:tcW w:w="2203" w:type="dxa"/>
            <w:vAlign w:val="center"/>
          </w:tcPr>
          <w:p>
            <w:pPr>
              <w:spacing w:line="480" w:lineRule="exact"/>
              <w:rPr>
                <w:rFonts w:ascii="宋体" w:hAnsi="宋体"/>
                <w:color w:val="000000"/>
                <w:sz w:val="28"/>
                <w:highlight w:val="none"/>
              </w:rPr>
            </w:pPr>
            <w:r>
              <w:rPr>
                <w:rFonts w:ascii="宋体" w:hAnsi="宋体"/>
                <w:bCs/>
                <w:color w:val="000000"/>
                <w:sz w:val="28"/>
                <w:highlight w:val="none"/>
              </w:rPr>
              <w:t>总银（mg/L）</w:t>
            </w:r>
          </w:p>
        </w:tc>
        <w:tc>
          <w:tcPr>
            <w:tcW w:w="1482" w:type="dxa"/>
            <w:vAlign w:val="center"/>
          </w:tcPr>
          <w:p>
            <w:pPr>
              <w:spacing w:line="480" w:lineRule="exact"/>
              <w:rPr>
                <w:rFonts w:ascii="宋体" w:hAnsi="宋体"/>
                <w:color w:val="000000"/>
                <w:sz w:val="28"/>
                <w:highlight w:val="none"/>
              </w:rPr>
            </w:pPr>
            <w:r>
              <w:rPr>
                <w:rFonts w:ascii="宋体" w:hAnsi="宋体"/>
                <w:bCs/>
                <w:color w:val="000000"/>
                <w:sz w:val="28"/>
                <w:highlight w:val="none"/>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spacing w:line="480" w:lineRule="exact"/>
              <w:rPr>
                <w:rFonts w:ascii="宋体" w:hAnsi="宋体"/>
                <w:color w:val="000000"/>
                <w:sz w:val="28"/>
                <w:highlight w:val="none"/>
              </w:rPr>
            </w:pPr>
            <w:r>
              <w:rPr>
                <w:rFonts w:ascii="宋体" w:hAnsi="宋体"/>
                <w:color w:val="000000"/>
                <w:sz w:val="28"/>
                <w:highlight w:val="none"/>
              </w:rPr>
              <w:t>10</w:t>
            </w:r>
          </w:p>
        </w:tc>
        <w:tc>
          <w:tcPr>
            <w:tcW w:w="2835" w:type="dxa"/>
            <w:vAlign w:val="center"/>
          </w:tcPr>
          <w:p>
            <w:pPr>
              <w:spacing w:line="480" w:lineRule="exact"/>
              <w:rPr>
                <w:rFonts w:ascii="宋体" w:hAnsi="宋体"/>
                <w:color w:val="000000"/>
                <w:sz w:val="28"/>
                <w:highlight w:val="none"/>
              </w:rPr>
            </w:pPr>
            <w:r>
              <w:rPr>
                <w:rFonts w:ascii="宋体" w:hAnsi="宋体"/>
                <w:color w:val="000000"/>
                <w:sz w:val="28"/>
                <w:highlight w:val="none"/>
              </w:rPr>
              <w:t>石油类（mg/L）</w:t>
            </w:r>
          </w:p>
        </w:tc>
        <w:tc>
          <w:tcPr>
            <w:tcW w:w="1081" w:type="dxa"/>
            <w:vAlign w:val="center"/>
          </w:tcPr>
          <w:p>
            <w:pPr>
              <w:spacing w:line="480" w:lineRule="exact"/>
              <w:rPr>
                <w:rFonts w:ascii="宋体" w:hAnsi="宋体"/>
                <w:color w:val="000000"/>
                <w:sz w:val="28"/>
                <w:highlight w:val="none"/>
              </w:rPr>
            </w:pPr>
            <w:r>
              <w:rPr>
                <w:rFonts w:ascii="宋体" w:hAnsi="宋体"/>
                <w:color w:val="000000"/>
                <w:sz w:val="28"/>
                <w:highlight w:val="none"/>
              </w:rPr>
              <w:t>5</w:t>
            </w:r>
          </w:p>
        </w:tc>
        <w:tc>
          <w:tcPr>
            <w:tcW w:w="761" w:type="dxa"/>
            <w:vAlign w:val="center"/>
          </w:tcPr>
          <w:p>
            <w:pPr>
              <w:spacing w:line="480" w:lineRule="exact"/>
              <w:rPr>
                <w:rFonts w:ascii="宋体" w:hAnsi="宋体"/>
                <w:bCs/>
                <w:color w:val="000000"/>
                <w:sz w:val="28"/>
                <w:highlight w:val="none"/>
              </w:rPr>
            </w:pPr>
            <w:r>
              <w:rPr>
                <w:rFonts w:ascii="宋体" w:hAnsi="宋体"/>
                <w:bCs/>
                <w:color w:val="000000"/>
                <w:sz w:val="28"/>
                <w:highlight w:val="none"/>
              </w:rPr>
              <w:t>22</w:t>
            </w:r>
          </w:p>
        </w:tc>
        <w:tc>
          <w:tcPr>
            <w:tcW w:w="2203" w:type="dxa"/>
            <w:vAlign w:val="center"/>
          </w:tcPr>
          <w:p>
            <w:pPr>
              <w:spacing w:line="480" w:lineRule="exact"/>
              <w:rPr>
                <w:rFonts w:ascii="宋体" w:hAnsi="宋体"/>
                <w:color w:val="000000"/>
                <w:sz w:val="28"/>
                <w:highlight w:val="none"/>
              </w:rPr>
            </w:pPr>
            <w:r>
              <w:rPr>
                <w:rFonts w:ascii="宋体" w:hAnsi="宋体"/>
                <w:bCs/>
                <w:color w:val="000000"/>
                <w:sz w:val="28"/>
                <w:highlight w:val="none"/>
              </w:rPr>
              <w:t>总Α(Bq/L)</w:t>
            </w:r>
          </w:p>
        </w:tc>
        <w:tc>
          <w:tcPr>
            <w:tcW w:w="1482" w:type="dxa"/>
            <w:vAlign w:val="center"/>
          </w:tcPr>
          <w:p>
            <w:pPr>
              <w:spacing w:line="480" w:lineRule="exact"/>
              <w:rPr>
                <w:rFonts w:ascii="宋体" w:hAnsi="宋体"/>
                <w:color w:val="000000"/>
                <w:sz w:val="28"/>
                <w:highlight w:val="none"/>
              </w:rPr>
            </w:pPr>
            <w:r>
              <w:rPr>
                <w:rFonts w:ascii="宋体" w:hAnsi="宋体"/>
                <w:bCs/>
                <w:color w:val="000000"/>
                <w:sz w:val="28"/>
                <w:highlight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spacing w:line="480" w:lineRule="exact"/>
              <w:rPr>
                <w:rFonts w:ascii="宋体" w:hAnsi="宋体"/>
                <w:color w:val="000000"/>
                <w:sz w:val="28"/>
                <w:highlight w:val="none"/>
              </w:rPr>
            </w:pPr>
            <w:r>
              <w:rPr>
                <w:rFonts w:ascii="宋体" w:hAnsi="宋体"/>
                <w:color w:val="000000"/>
                <w:sz w:val="28"/>
                <w:highlight w:val="none"/>
              </w:rPr>
              <w:t>11</w:t>
            </w:r>
          </w:p>
        </w:tc>
        <w:tc>
          <w:tcPr>
            <w:tcW w:w="2835" w:type="dxa"/>
            <w:vAlign w:val="center"/>
          </w:tcPr>
          <w:p>
            <w:pPr>
              <w:spacing w:line="480" w:lineRule="exact"/>
              <w:rPr>
                <w:rFonts w:ascii="宋体" w:hAnsi="宋体"/>
                <w:color w:val="000000"/>
                <w:sz w:val="28"/>
                <w:highlight w:val="none"/>
              </w:rPr>
            </w:pPr>
            <w:r>
              <w:rPr>
                <w:rFonts w:ascii="宋体" w:hAnsi="宋体"/>
                <w:color w:val="000000"/>
                <w:sz w:val="28"/>
                <w:highlight w:val="none"/>
              </w:rPr>
              <w:t>阴离子表面活性剂（mg/L）</w:t>
            </w:r>
          </w:p>
        </w:tc>
        <w:tc>
          <w:tcPr>
            <w:tcW w:w="1081" w:type="dxa"/>
            <w:vAlign w:val="center"/>
          </w:tcPr>
          <w:p>
            <w:pPr>
              <w:spacing w:line="480" w:lineRule="exact"/>
              <w:rPr>
                <w:rFonts w:ascii="宋体" w:hAnsi="宋体"/>
                <w:color w:val="000000"/>
                <w:sz w:val="28"/>
                <w:highlight w:val="none"/>
              </w:rPr>
            </w:pPr>
            <w:r>
              <w:rPr>
                <w:rFonts w:ascii="宋体" w:hAnsi="宋体"/>
                <w:color w:val="000000"/>
                <w:sz w:val="28"/>
                <w:highlight w:val="none"/>
              </w:rPr>
              <w:t>5</w:t>
            </w:r>
          </w:p>
        </w:tc>
        <w:tc>
          <w:tcPr>
            <w:tcW w:w="761" w:type="dxa"/>
            <w:vAlign w:val="center"/>
          </w:tcPr>
          <w:p>
            <w:pPr>
              <w:spacing w:line="480" w:lineRule="exact"/>
              <w:rPr>
                <w:rFonts w:ascii="宋体" w:hAnsi="宋体"/>
                <w:bCs/>
                <w:color w:val="000000"/>
                <w:sz w:val="28"/>
                <w:highlight w:val="none"/>
              </w:rPr>
            </w:pPr>
            <w:r>
              <w:rPr>
                <w:rFonts w:ascii="宋体" w:hAnsi="宋体"/>
                <w:bCs/>
                <w:color w:val="000000"/>
                <w:sz w:val="28"/>
                <w:highlight w:val="none"/>
              </w:rPr>
              <w:t>23</w:t>
            </w:r>
          </w:p>
        </w:tc>
        <w:tc>
          <w:tcPr>
            <w:tcW w:w="2203" w:type="dxa"/>
            <w:vAlign w:val="center"/>
          </w:tcPr>
          <w:p>
            <w:pPr>
              <w:spacing w:line="480" w:lineRule="exact"/>
              <w:rPr>
                <w:rFonts w:ascii="宋体" w:hAnsi="宋体"/>
                <w:color w:val="000000"/>
                <w:sz w:val="28"/>
                <w:highlight w:val="none"/>
              </w:rPr>
            </w:pPr>
            <w:r>
              <w:rPr>
                <w:rFonts w:ascii="宋体" w:hAnsi="宋体"/>
                <w:bCs/>
                <w:color w:val="000000"/>
                <w:sz w:val="28"/>
                <w:highlight w:val="none"/>
              </w:rPr>
              <w:t>总Β(Bq/L)</w:t>
            </w:r>
          </w:p>
        </w:tc>
        <w:tc>
          <w:tcPr>
            <w:tcW w:w="1482" w:type="dxa"/>
            <w:vAlign w:val="center"/>
          </w:tcPr>
          <w:p>
            <w:pPr>
              <w:spacing w:line="480" w:lineRule="exact"/>
              <w:rPr>
                <w:rFonts w:ascii="宋体" w:hAnsi="宋体"/>
                <w:color w:val="000000"/>
                <w:sz w:val="28"/>
                <w:highlight w:val="none"/>
              </w:rPr>
            </w:pPr>
            <w:r>
              <w:rPr>
                <w:rFonts w:ascii="宋体" w:hAnsi="宋体"/>
                <w:bCs/>
                <w:color w:val="000000"/>
                <w:sz w:val="28"/>
                <w:highlight w:val="none"/>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710" w:type="dxa"/>
            <w:vAlign w:val="center"/>
          </w:tcPr>
          <w:p>
            <w:pPr>
              <w:spacing w:line="480" w:lineRule="exact"/>
              <w:rPr>
                <w:rFonts w:ascii="宋体" w:hAnsi="宋体"/>
                <w:color w:val="000000"/>
                <w:sz w:val="28"/>
                <w:highlight w:val="none"/>
              </w:rPr>
            </w:pPr>
            <w:r>
              <w:rPr>
                <w:rFonts w:ascii="宋体" w:hAnsi="宋体"/>
                <w:color w:val="000000"/>
                <w:sz w:val="28"/>
                <w:highlight w:val="none"/>
              </w:rPr>
              <w:t>12</w:t>
            </w:r>
          </w:p>
        </w:tc>
        <w:tc>
          <w:tcPr>
            <w:tcW w:w="2835" w:type="dxa"/>
            <w:vAlign w:val="center"/>
          </w:tcPr>
          <w:p>
            <w:pPr>
              <w:spacing w:line="480" w:lineRule="exact"/>
              <w:rPr>
                <w:rFonts w:ascii="宋体" w:hAnsi="宋体"/>
                <w:color w:val="000000"/>
                <w:sz w:val="28"/>
                <w:highlight w:val="none"/>
              </w:rPr>
            </w:pPr>
            <w:r>
              <w:rPr>
                <w:rFonts w:ascii="宋体" w:hAnsi="宋体"/>
                <w:color w:val="000000"/>
                <w:sz w:val="28"/>
                <w:highlight w:val="none"/>
              </w:rPr>
              <w:t>色度（稀释倍数）</w:t>
            </w:r>
          </w:p>
        </w:tc>
        <w:tc>
          <w:tcPr>
            <w:tcW w:w="1081" w:type="dxa"/>
            <w:vAlign w:val="center"/>
          </w:tcPr>
          <w:p>
            <w:pPr>
              <w:spacing w:line="480" w:lineRule="exact"/>
              <w:rPr>
                <w:rFonts w:ascii="宋体" w:hAnsi="宋体"/>
                <w:color w:val="000000"/>
                <w:sz w:val="28"/>
                <w:highlight w:val="none"/>
              </w:rPr>
            </w:pPr>
            <w:r>
              <w:rPr>
                <w:rFonts w:ascii="宋体" w:hAnsi="宋体"/>
                <w:color w:val="000000"/>
                <w:sz w:val="28"/>
                <w:highlight w:val="none"/>
              </w:rPr>
              <w:t>30</w:t>
            </w:r>
          </w:p>
        </w:tc>
        <w:tc>
          <w:tcPr>
            <w:tcW w:w="761" w:type="dxa"/>
            <w:vAlign w:val="center"/>
          </w:tcPr>
          <w:p>
            <w:pPr>
              <w:spacing w:line="480" w:lineRule="exact"/>
              <w:rPr>
                <w:rFonts w:ascii="宋体" w:hAnsi="宋体"/>
                <w:bCs/>
                <w:color w:val="000000"/>
                <w:sz w:val="28"/>
                <w:highlight w:val="none"/>
              </w:rPr>
            </w:pPr>
          </w:p>
        </w:tc>
        <w:tc>
          <w:tcPr>
            <w:tcW w:w="2203" w:type="dxa"/>
            <w:vAlign w:val="center"/>
          </w:tcPr>
          <w:p>
            <w:pPr>
              <w:spacing w:line="480" w:lineRule="exact"/>
              <w:rPr>
                <w:rFonts w:ascii="宋体" w:hAnsi="宋体"/>
                <w:color w:val="000000"/>
                <w:sz w:val="28"/>
                <w:highlight w:val="none"/>
              </w:rPr>
            </w:pPr>
          </w:p>
        </w:tc>
        <w:tc>
          <w:tcPr>
            <w:tcW w:w="1482" w:type="dxa"/>
            <w:vAlign w:val="center"/>
          </w:tcPr>
          <w:p>
            <w:pPr>
              <w:spacing w:line="480" w:lineRule="exact"/>
              <w:rPr>
                <w:rFonts w:ascii="宋体" w:hAnsi="宋体"/>
                <w:color w:val="000000"/>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72" w:type="dxa"/>
            <w:gridSpan w:val="6"/>
            <w:vAlign w:val="center"/>
          </w:tcPr>
          <w:p>
            <w:pPr>
              <w:spacing w:line="480" w:lineRule="exact"/>
              <w:rPr>
                <w:rFonts w:ascii="宋体" w:hAnsi="宋体"/>
                <w:bCs/>
                <w:color w:val="000000"/>
                <w:sz w:val="28"/>
                <w:highlight w:val="none"/>
              </w:rPr>
            </w:pPr>
            <w:r>
              <w:rPr>
                <w:rFonts w:ascii="宋体" w:hAnsi="宋体"/>
                <w:bCs/>
                <w:color w:val="000000"/>
                <w:sz w:val="28"/>
                <w:highlight w:val="none"/>
              </w:rPr>
              <w:t>注：1）采用</w:t>
            </w:r>
            <w:r>
              <w:rPr>
                <w:rFonts w:hint="eastAsia" w:ascii="宋体" w:hAnsi="宋体"/>
                <w:bCs/>
                <w:color w:val="000000"/>
                <w:sz w:val="28"/>
                <w:highlight w:val="none"/>
              </w:rPr>
              <w:t>单过硫酸氢钾复合粉的消毒工艺。</w:t>
            </w:r>
          </w:p>
        </w:tc>
      </w:tr>
    </w:tbl>
    <w:p>
      <w:pPr>
        <w:spacing w:line="480" w:lineRule="exact"/>
        <w:rPr>
          <w:rFonts w:ascii="宋体" w:hAnsi="宋体"/>
          <w:color w:val="000000"/>
          <w:sz w:val="28"/>
          <w:highlight w:val="none"/>
        </w:rPr>
      </w:pPr>
      <w:r>
        <w:rPr>
          <w:rFonts w:hint="eastAsia" w:ascii="宋体" w:hAnsi="宋体"/>
          <w:color w:val="000000"/>
          <w:sz w:val="28"/>
          <w:highlight w:val="none"/>
        </w:rPr>
        <w:t>3、处理工艺：生化法加消毒工艺，即AO工艺+消毒工艺。</w:t>
      </w:r>
    </w:p>
    <w:p>
      <w:pPr>
        <w:rPr>
          <w:rFonts w:ascii="宋体" w:hAnsi="宋体"/>
          <w:color w:val="000000"/>
          <w:sz w:val="28"/>
          <w:highlight w:val="none"/>
        </w:rPr>
      </w:pPr>
      <w:r>
        <w:rPr>
          <w:rFonts w:hint="eastAsia" w:ascii="宋体" w:hAnsi="宋体"/>
          <w:color w:val="000000"/>
          <w:sz w:val="28"/>
          <w:highlight w:val="none"/>
        </w:rPr>
        <w:t>4、控制：实现自动控制。</w:t>
      </w:r>
    </w:p>
    <w:p>
      <w:pPr>
        <w:rPr>
          <w:rFonts w:ascii="宋体" w:hAnsi="宋体"/>
          <w:color w:val="000000"/>
          <w:sz w:val="28"/>
          <w:highlight w:val="none"/>
        </w:rPr>
      </w:pPr>
    </w:p>
    <w:p>
      <w:pPr>
        <w:numPr>
          <w:ilvl w:val="0"/>
          <w:numId w:val="22"/>
        </w:numPr>
        <w:jc w:val="left"/>
        <w:rPr>
          <w:b/>
          <w:sz w:val="28"/>
          <w:szCs w:val="28"/>
          <w:highlight w:val="none"/>
        </w:rPr>
      </w:pPr>
      <w:r>
        <w:rPr>
          <w:rFonts w:hint="eastAsia"/>
          <w:b/>
          <w:sz w:val="28"/>
          <w:szCs w:val="28"/>
          <w:highlight w:val="none"/>
        </w:rPr>
        <w:t>工艺流程图如下：</w:t>
      </w:r>
    </w:p>
    <w:p>
      <w:pPr>
        <w:ind w:firstLine="4410" w:firstLineChars="2100"/>
        <w:rPr>
          <w:highlight w:val="none"/>
        </w:rPr>
      </w:pPr>
    </w:p>
    <w:p>
      <w:pPr>
        <w:ind w:firstLine="4830" w:firstLineChars="2300"/>
        <w:rPr>
          <w:highlight w:val="none"/>
        </w:rPr>
      </w:pPr>
      <w:r>
        <w:rPr>
          <w:rFonts w:ascii="Times New Roman" w:hAnsi="Times New Roman" w:eastAsia="宋体" w:cs="Times New Roman"/>
          <w:kern w:val="2"/>
          <w:sz w:val="21"/>
          <w:szCs w:val="22"/>
          <w:highlight w:val="none"/>
          <w:lang w:val="en-US" w:eastAsia="zh-CN" w:bidi="ar-SA"/>
        </w:rPr>
        <w:pict>
          <v:line id="Line 16" o:spid="_x0000_s1028" style="position:absolute;left:0;flip:x;margin-left:202.5pt;margin-top:11.4pt;height:34.9pt;width:0.05pt;rotation:0f;z-index:251672576;"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2"/>
          <w:highlight w:val="none"/>
          <w:lang w:val="en-US" w:eastAsia="zh-CN" w:bidi="ar-SA"/>
        </w:rPr>
        <w:pict>
          <v:line id="Line 15" o:spid="_x0000_s1029" style="position:absolute;left:0;flip:x y;margin-left:328.5pt;margin-top:14.65pt;height:31.65pt;width:0.05pt;rotation:0f;z-index:25167155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2"/>
          <w:highlight w:val="none"/>
          <w:lang w:val="en-US" w:eastAsia="zh-CN" w:bidi="ar-SA"/>
        </w:rPr>
        <w:pict>
          <v:line id="Line 14" o:spid="_x0000_s1030" style="position:absolute;left:0;flip:x;margin-left:198.55pt;margin-top:12.9pt;height:0.05pt;width:129.95pt;rotation:0f;z-index:25167052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highlight w:val="none"/>
        </w:rPr>
        <w:t>污泥回流</w:t>
      </w:r>
    </w:p>
    <w:p>
      <w:pPr>
        <w:rPr>
          <w:highlight w:val="none"/>
        </w:rPr>
      </w:pPr>
      <w:r>
        <w:rPr>
          <w:rFonts w:ascii="Times New Roman" w:hAnsi="Times New Roman" w:eastAsia="宋体" w:cs="Times New Roman"/>
          <w:kern w:val="2"/>
          <w:sz w:val="21"/>
          <w:szCs w:val="22"/>
          <w:highlight w:val="none"/>
          <w:lang w:val="en-US" w:eastAsia="zh-CN" w:bidi="ar-SA"/>
        </w:rPr>
        <w:pict>
          <v:line id="Line 8" o:spid="_x0000_s1031" style="position:absolute;left:0;margin-left:264.65pt;margin-top:13.45pt;height:17.25pt;width:0.05pt;rotation:0f;z-index:25166540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highlight w:val="none"/>
        </w:rPr>
        <w:t xml:space="preserve">                                               鼓风机                  消毒药剂</w:t>
      </w:r>
    </w:p>
    <w:p>
      <w:pPr>
        <w:rPr>
          <w:highlight w:val="none"/>
        </w:rPr>
      </w:pPr>
      <w:r>
        <w:rPr>
          <w:rFonts w:ascii="Times New Roman" w:hAnsi="Times New Roman" w:eastAsia="宋体" w:cs="Times New Roman"/>
          <w:kern w:val="2"/>
          <w:sz w:val="21"/>
          <w:szCs w:val="22"/>
          <w:highlight w:val="none"/>
          <w:lang w:val="en-US" w:eastAsia="zh-CN" w:bidi="ar-SA"/>
        </w:rPr>
        <w:pict>
          <v:line id="Line 13" o:spid="_x0000_s1032" style="position:absolute;left:0;margin-left:392.6pt;margin-top:1.6pt;height:17.25pt;width:0.05pt;rotation:0f;z-index:25166950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highlight w:val="none"/>
        </w:rPr>
        <w:t xml:space="preserve">                          泵                     </w:t>
      </w:r>
    </w:p>
    <w:p>
      <w:pPr>
        <w:rPr>
          <w:highlight w:val="none"/>
        </w:rPr>
      </w:pPr>
      <w:r>
        <w:rPr>
          <w:rFonts w:ascii="Times New Roman" w:hAnsi="Times New Roman" w:eastAsia="宋体" w:cs="Times New Roman"/>
          <w:kern w:val="2"/>
          <w:sz w:val="21"/>
          <w:szCs w:val="22"/>
          <w:highlight w:val="none"/>
          <w:lang w:val="en-US" w:eastAsia="zh-CN" w:bidi="ar-SA"/>
        </w:rPr>
        <w:pict>
          <v:line id="Line 7" o:spid="_x0000_s1033" style="position:absolute;left:0;margin-left:350.9pt;margin-top:7.75pt;height:0.05pt;width:19.5pt;rotation:0f;z-index:25166438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2"/>
          <w:highlight w:val="none"/>
          <w:lang w:val="en-US" w:eastAsia="zh-CN" w:bidi="ar-SA"/>
        </w:rPr>
        <w:pict>
          <v:line id="Line 6" o:spid="_x0000_s1034" style="position:absolute;left:0;margin-left:292.4pt;margin-top:7.75pt;height:0.05pt;width:30pt;rotation:0f;z-index:25166336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2"/>
          <w:highlight w:val="none"/>
          <w:lang w:val="en-US" w:eastAsia="zh-CN" w:bidi="ar-SA"/>
        </w:rPr>
        <w:pict>
          <v:line id="Line 5" o:spid="_x0000_s1035" style="position:absolute;left:0;margin-left:213.65pt;margin-top:8.5pt;height:0.05pt;width:22.5pt;rotation:0f;z-index:251662336;"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2"/>
          <w:highlight w:val="none"/>
          <w:lang w:val="en-US" w:eastAsia="zh-CN" w:bidi="ar-SA"/>
        </w:rPr>
        <w:pict>
          <v:line id="Line 4" o:spid="_x0000_s1036" style="position:absolute;left:0;margin-left:131.15pt;margin-top:7.75pt;height:0.05pt;width:30pt;rotation:0f;z-index:25166131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2"/>
          <w:highlight w:val="none"/>
          <w:lang w:val="en-US" w:eastAsia="zh-CN" w:bidi="ar-SA"/>
        </w:rPr>
        <w:pict>
          <v:line id="Line 3" o:spid="_x0000_s1037" style="position:absolute;left:0;margin-left:71.15pt;margin-top:8.5pt;height:0.05pt;width:23.25pt;rotation:0f;z-index:25166028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2"/>
          <w:highlight w:val="none"/>
          <w:lang w:val="en-US" w:eastAsia="zh-CN" w:bidi="ar-SA"/>
        </w:rPr>
        <w:pict>
          <v:line id="Line 2" o:spid="_x0000_s1038" style="position:absolute;left:0;margin-left:21.65pt;margin-top:8.5pt;height:0.05pt;width:24pt;rotation:0f;z-index:25165926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highlight w:val="none"/>
        </w:rPr>
        <w:t>污水     格栅      调节池      A级生物池     O级生物池     二沉池    清水池</w:t>
      </w:r>
    </w:p>
    <w:p>
      <w:pPr>
        <w:rPr>
          <w:highlight w:val="none"/>
        </w:rPr>
      </w:pPr>
      <w:r>
        <w:rPr>
          <w:rFonts w:ascii="Times New Roman" w:hAnsi="Times New Roman" w:eastAsia="宋体" w:cs="Times New Roman"/>
          <w:kern w:val="2"/>
          <w:sz w:val="21"/>
          <w:szCs w:val="22"/>
          <w:highlight w:val="none"/>
          <w:lang w:val="en-US" w:eastAsia="zh-CN" w:bidi="ar-SA"/>
        </w:rPr>
        <w:pict>
          <v:line id="Line 12" o:spid="_x0000_s1039" style="position:absolute;left:0;margin-left:387pt;margin-top:1.15pt;height:45.65pt;width:0.05pt;rotation:0f;z-index:25166848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Times New Roman" w:hAnsi="Times New Roman" w:eastAsia="宋体" w:cs="Times New Roman"/>
          <w:kern w:val="2"/>
          <w:sz w:val="21"/>
          <w:szCs w:val="22"/>
          <w:highlight w:val="none"/>
          <w:lang w:val="en-US" w:eastAsia="zh-CN" w:bidi="ar-SA"/>
        </w:rPr>
        <w:pict>
          <v:line id="Line 10" o:spid="_x0000_s1040" style="position:absolute;left:0;margin-left:333.65pt;margin-top:1.15pt;height:36.75pt;width:0.05pt;rotation:0f;z-index:25166643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highlight w:val="none"/>
        </w:rPr>
        <w:t xml:space="preserve">                                                 二级              </w:t>
      </w:r>
    </w:p>
    <w:p>
      <w:pPr>
        <w:rPr>
          <w:highlight w:val="none"/>
        </w:rPr>
      </w:pPr>
      <w:r>
        <w:rPr>
          <w:rFonts w:hint="eastAsia"/>
          <w:highlight w:val="none"/>
        </w:rPr>
        <w:t xml:space="preserve">                                                                                                                             </w:t>
      </w:r>
    </w:p>
    <w:p>
      <w:pPr>
        <w:rPr>
          <w:highlight w:val="none"/>
        </w:rPr>
      </w:pPr>
      <w:r>
        <w:rPr>
          <w:rFonts w:ascii="Times New Roman" w:hAnsi="Times New Roman" w:eastAsia="宋体" w:cs="Times New Roman"/>
          <w:kern w:val="2"/>
          <w:sz w:val="21"/>
          <w:szCs w:val="22"/>
          <w:highlight w:val="none"/>
          <w:lang w:val="en-US" w:eastAsia="zh-CN" w:bidi="ar-SA"/>
        </w:rPr>
        <w:pict>
          <v:line id="Line 11" o:spid="_x0000_s1041" style="position:absolute;left:0;flip:x;margin-left:292.4pt;margin-top:5.2pt;height:0.05pt;width:41.25pt;rotation:0f;z-index:251667456;"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highlight w:val="none"/>
        </w:rPr>
        <w:t xml:space="preserve">                                            污泥外运                                                       </w:t>
      </w:r>
    </w:p>
    <w:p>
      <w:pPr>
        <w:rPr>
          <w:rFonts w:ascii="宋体" w:hAnsi="宋体"/>
          <w:color w:val="000000"/>
          <w:sz w:val="28"/>
          <w:highlight w:val="none"/>
        </w:rPr>
      </w:pPr>
      <w:r>
        <w:rPr>
          <w:rFonts w:hint="eastAsia"/>
          <w:highlight w:val="none"/>
        </w:rPr>
        <w:t xml:space="preserve">                                                                   排放或回用</w:t>
      </w:r>
    </w:p>
    <w:p>
      <w:pPr>
        <w:rPr>
          <w:rFonts w:ascii="宋体" w:hAnsi="宋体"/>
          <w:color w:val="000000"/>
          <w:sz w:val="28"/>
          <w:highlight w:val="none"/>
        </w:rPr>
      </w:pPr>
    </w:p>
    <w:p>
      <w:pPr>
        <w:rPr>
          <w:rFonts w:ascii="宋体" w:hAnsi="宋体"/>
          <w:color w:val="000000"/>
          <w:sz w:val="28"/>
          <w:highlight w:val="none"/>
        </w:rPr>
      </w:pPr>
    </w:p>
    <w:p>
      <w:pPr>
        <w:rPr>
          <w:rFonts w:ascii="宋体" w:hAnsi="宋体"/>
          <w:color w:val="000000"/>
          <w:sz w:val="28"/>
          <w:highlight w:val="none"/>
        </w:rPr>
      </w:pPr>
    </w:p>
    <w:p>
      <w:pPr>
        <w:rPr>
          <w:rFonts w:ascii="宋体" w:hAnsi="宋体"/>
          <w:color w:val="000000"/>
          <w:sz w:val="28"/>
          <w:highlight w:val="none"/>
        </w:rPr>
      </w:pPr>
    </w:p>
    <w:p>
      <w:pPr>
        <w:pStyle w:val="2"/>
        <w:jc w:val="center"/>
        <w:rPr>
          <w:color w:val="000000"/>
          <w:sz w:val="32"/>
          <w:szCs w:val="32"/>
          <w:highlight w:val="none"/>
        </w:rPr>
      </w:pPr>
      <w:r>
        <w:rPr>
          <w:rFonts w:hint="eastAsia"/>
          <w:color w:val="000000"/>
          <w:sz w:val="32"/>
          <w:szCs w:val="32"/>
          <w:highlight w:val="none"/>
        </w:rPr>
        <w:t>工程投资估算表</w:t>
      </w:r>
    </w:p>
    <w:p>
      <w:pPr>
        <w:rPr>
          <w:color w:val="000000"/>
          <w:sz w:val="28"/>
          <w:highlight w:val="none"/>
        </w:rPr>
      </w:pPr>
      <w:r>
        <w:rPr>
          <w:rFonts w:hint="eastAsia"/>
          <w:color w:val="000000"/>
          <w:sz w:val="28"/>
          <w:highlight w:val="none"/>
        </w:rPr>
        <w:t>本工程投资估算表如下：</w:t>
      </w:r>
    </w:p>
    <w:p>
      <w:pPr>
        <w:rPr>
          <w:color w:val="000000"/>
          <w:sz w:val="28"/>
          <w:highlight w:val="none"/>
        </w:rPr>
      </w:pPr>
      <w:r>
        <w:rPr>
          <w:rFonts w:hint="eastAsia"/>
          <w:color w:val="000000"/>
          <w:sz w:val="28"/>
          <w:highlight w:val="none"/>
        </w:rPr>
        <w:t>土建部分：</w:t>
      </w:r>
    </w:p>
    <w:tbl>
      <w:tblPr>
        <w:tblW w:w="92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1615"/>
        <w:gridCol w:w="2085"/>
        <w:gridCol w:w="735"/>
        <w:gridCol w:w="720"/>
        <w:gridCol w:w="705"/>
        <w:gridCol w:w="870"/>
        <w:gridCol w:w="1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序号</w:t>
            </w:r>
          </w:p>
        </w:tc>
        <w:tc>
          <w:tcPr>
            <w:tcW w:w="161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名称</w:t>
            </w:r>
          </w:p>
        </w:tc>
        <w:tc>
          <w:tcPr>
            <w:tcW w:w="20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型号规格尺寸</w:t>
            </w:r>
          </w:p>
        </w:tc>
        <w:tc>
          <w:tcPr>
            <w:tcW w:w="7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单位</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w:t>
            </w:r>
          </w:p>
        </w:tc>
        <w:tc>
          <w:tcPr>
            <w:tcW w:w="7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单价（元）</w:t>
            </w:r>
          </w:p>
        </w:tc>
        <w:tc>
          <w:tcPr>
            <w:tcW w:w="8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合价</w:t>
            </w:r>
            <w:r>
              <w:rPr>
                <w:rFonts w:hint="eastAsia" w:ascii="宋体" w:hAnsi="宋体" w:cs="宋体"/>
                <w:color w:val="000000"/>
                <w:kern w:val="0"/>
                <w:sz w:val="24"/>
                <w:highlight w:val="none"/>
              </w:rPr>
              <w:br/>
            </w:r>
            <w:r>
              <w:rPr>
                <w:rFonts w:hint="eastAsia" w:ascii="宋体" w:hAnsi="宋体" w:cs="宋体"/>
                <w:color w:val="000000"/>
                <w:kern w:val="0"/>
                <w:sz w:val="24"/>
                <w:highlight w:val="none"/>
              </w:rPr>
              <w:t>（元）</w:t>
            </w:r>
          </w:p>
        </w:tc>
        <w:tc>
          <w:tcPr>
            <w:tcW w:w="186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备</w:t>
            </w:r>
            <w:r>
              <w:rPr>
                <w:color w:val="000000"/>
                <w:kern w:val="0"/>
                <w:sz w:val="24"/>
                <w:highlight w:val="none"/>
              </w:rPr>
              <w:t xml:space="preserve">   </w:t>
            </w:r>
            <w:r>
              <w:rPr>
                <w:rFonts w:hint="eastAsia" w:ascii="宋体" w:hAnsi="宋体" w:cs="宋体"/>
                <w:color w:val="000000"/>
                <w:kern w:val="0"/>
                <w:sz w:val="24"/>
                <w:highlight w:val="none"/>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9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highlight w:val="none"/>
              </w:rPr>
            </w:pPr>
          </w:p>
        </w:tc>
        <w:tc>
          <w:tcPr>
            <w:tcW w:w="161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污水管道</w:t>
            </w:r>
          </w:p>
        </w:tc>
        <w:tc>
          <w:tcPr>
            <w:tcW w:w="2085" w:type="dxa"/>
            <w:tcBorders>
              <w:top w:val="nil"/>
              <w:left w:val="nil"/>
              <w:bottom w:val="single" w:color="auto" w:sz="4" w:space="0"/>
              <w:right w:val="single" w:color="auto" w:sz="4" w:space="0"/>
            </w:tcBorders>
            <w:vAlign w:val="center"/>
          </w:tcPr>
          <w:p>
            <w:pPr>
              <w:widowControl/>
              <w:jc w:val="left"/>
              <w:rPr>
                <w:color w:val="000000"/>
                <w:kern w:val="0"/>
                <w:sz w:val="24"/>
                <w:highlight w:val="none"/>
              </w:rPr>
            </w:pPr>
            <w:r>
              <w:rPr>
                <w:rFonts w:hint="eastAsia" w:ascii="宋体" w:hAnsi="宋体"/>
                <w:color w:val="000000"/>
                <w:kern w:val="0"/>
                <w:sz w:val="24"/>
                <w:highlight w:val="none"/>
              </w:rPr>
              <w:t>Ø</w:t>
            </w:r>
            <w:r>
              <w:rPr>
                <w:rFonts w:hint="eastAsia"/>
                <w:color w:val="000000"/>
                <w:kern w:val="0"/>
                <w:sz w:val="24"/>
                <w:highlight w:val="none"/>
              </w:rPr>
              <w:t>200mm管道</w:t>
            </w:r>
          </w:p>
        </w:tc>
        <w:tc>
          <w:tcPr>
            <w:tcW w:w="735" w:type="dxa"/>
            <w:tcBorders>
              <w:top w:val="nil"/>
              <w:left w:val="nil"/>
              <w:bottom w:val="single" w:color="auto" w:sz="4" w:space="0"/>
              <w:right w:val="single" w:color="auto" w:sz="4" w:space="0"/>
            </w:tcBorders>
            <w:vAlign w:val="center"/>
          </w:tcPr>
          <w:p>
            <w:pPr>
              <w:widowControl/>
              <w:jc w:val="center"/>
              <w:rPr>
                <w:color w:val="000000"/>
                <w:kern w:val="0"/>
                <w:sz w:val="24"/>
                <w:highlight w:val="none"/>
              </w:rPr>
            </w:pPr>
            <w:r>
              <w:rPr>
                <w:rFonts w:hint="eastAsia"/>
                <w:color w:val="000000"/>
                <w:kern w:val="0"/>
                <w:sz w:val="24"/>
                <w:highlight w:val="none"/>
              </w:rPr>
              <w:t>米</w:t>
            </w:r>
          </w:p>
        </w:tc>
        <w:tc>
          <w:tcPr>
            <w:tcW w:w="720" w:type="dxa"/>
            <w:tcBorders>
              <w:top w:val="nil"/>
              <w:left w:val="nil"/>
              <w:bottom w:val="single" w:color="auto" w:sz="4" w:space="0"/>
              <w:right w:val="single" w:color="auto" w:sz="4" w:space="0"/>
            </w:tcBorders>
            <w:vAlign w:val="center"/>
          </w:tcPr>
          <w:p>
            <w:pPr>
              <w:widowControl/>
              <w:jc w:val="center"/>
              <w:rPr>
                <w:color w:val="000000"/>
                <w:kern w:val="0"/>
                <w:sz w:val="24"/>
                <w:highlight w:val="none"/>
              </w:rPr>
            </w:pPr>
            <w:r>
              <w:rPr>
                <w:rFonts w:hint="eastAsia"/>
                <w:color w:val="000000"/>
                <w:kern w:val="0"/>
                <w:sz w:val="24"/>
                <w:highlight w:val="none"/>
              </w:rPr>
              <w:t>120</w:t>
            </w:r>
          </w:p>
        </w:tc>
        <w:tc>
          <w:tcPr>
            <w:tcW w:w="705" w:type="dxa"/>
            <w:tcBorders>
              <w:top w:val="nil"/>
              <w:left w:val="nil"/>
              <w:bottom w:val="single" w:color="auto" w:sz="4" w:space="0"/>
              <w:right w:val="single" w:color="auto" w:sz="4" w:space="0"/>
            </w:tcBorders>
            <w:vAlign w:val="center"/>
          </w:tcPr>
          <w:p>
            <w:pPr>
              <w:widowControl/>
              <w:jc w:val="right"/>
              <w:rPr>
                <w:color w:val="000000"/>
                <w:kern w:val="0"/>
                <w:sz w:val="24"/>
                <w:highlight w:val="none"/>
              </w:rPr>
            </w:pPr>
          </w:p>
        </w:tc>
        <w:tc>
          <w:tcPr>
            <w:tcW w:w="870" w:type="dxa"/>
            <w:tcBorders>
              <w:top w:val="nil"/>
              <w:left w:val="nil"/>
              <w:bottom w:val="single" w:color="auto" w:sz="4" w:space="0"/>
              <w:right w:val="single" w:color="auto" w:sz="4" w:space="0"/>
            </w:tcBorders>
            <w:vAlign w:val="center"/>
          </w:tcPr>
          <w:p>
            <w:pPr>
              <w:widowControl/>
              <w:jc w:val="center"/>
              <w:rPr>
                <w:color w:val="000000"/>
                <w:kern w:val="0"/>
                <w:sz w:val="24"/>
                <w:highlight w:val="none"/>
              </w:rPr>
            </w:pPr>
          </w:p>
        </w:tc>
        <w:tc>
          <w:tcPr>
            <w:tcW w:w="186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包括管道的开挖、回填4套观察井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9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highlight w:val="none"/>
              </w:rPr>
            </w:pPr>
          </w:p>
        </w:tc>
        <w:tc>
          <w:tcPr>
            <w:tcW w:w="161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调节池</w:t>
            </w:r>
          </w:p>
        </w:tc>
        <w:tc>
          <w:tcPr>
            <w:tcW w:w="2085" w:type="dxa"/>
            <w:tcBorders>
              <w:top w:val="nil"/>
              <w:left w:val="nil"/>
              <w:bottom w:val="single" w:color="auto" w:sz="4" w:space="0"/>
              <w:right w:val="single" w:color="auto" w:sz="4" w:space="0"/>
            </w:tcBorders>
            <w:vAlign w:val="center"/>
          </w:tcPr>
          <w:p>
            <w:pPr>
              <w:widowControl/>
              <w:jc w:val="left"/>
              <w:rPr>
                <w:color w:val="000000"/>
                <w:kern w:val="0"/>
                <w:sz w:val="24"/>
                <w:highlight w:val="none"/>
              </w:rPr>
            </w:pPr>
            <w:r>
              <w:rPr>
                <w:rFonts w:hint="eastAsia"/>
                <w:color w:val="000000"/>
                <w:kern w:val="0"/>
                <w:sz w:val="24"/>
                <w:highlight w:val="none"/>
              </w:rPr>
              <w:t>3</w:t>
            </w:r>
            <w:r>
              <w:rPr>
                <w:color w:val="000000"/>
                <w:kern w:val="0"/>
                <w:sz w:val="24"/>
                <w:highlight w:val="none"/>
              </w:rPr>
              <w:t>×</w:t>
            </w:r>
            <w:r>
              <w:rPr>
                <w:rFonts w:hint="eastAsia"/>
                <w:color w:val="000000"/>
                <w:kern w:val="0"/>
                <w:sz w:val="24"/>
                <w:highlight w:val="none"/>
              </w:rPr>
              <w:t>3</w:t>
            </w:r>
            <w:r>
              <w:rPr>
                <w:color w:val="000000"/>
                <w:kern w:val="0"/>
                <w:sz w:val="24"/>
                <w:highlight w:val="none"/>
              </w:rPr>
              <w:t>×</w:t>
            </w:r>
            <w:r>
              <w:rPr>
                <w:rFonts w:hint="eastAsia"/>
                <w:color w:val="000000"/>
                <w:kern w:val="0"/>
                <w:sz w:val="24"/>
                <w:highlight w:val="none"/>
              </w:rPr>
              <w:t>3</w:t>
            </w:r>
            <w:r>
              <w:rPr>
                <w:color w:val="000000"/>
                <w:kern w:val="0"/>
                <w:sz w:val="24"/>
                <w:highlight w:val="none"/>
              </w:rPr>
              <w:t>m</w:t>
            </w:r>
          </w:p>
        </w:tc>
        <w:tc>
          <w:tcPr>
            <w:tcW w:w="735" w:type="dxa"/>
            <w:tcBorders>
              <w:top w:val="nil"/>
              <w:left w:val="nil"/>
              <w:bottom w:val="single" w:color="auto" w:sz="4" w:space="0"/>
              <w:right w:val="single" w:color="auto" w:sz="4" w:space="0"/>
            </w:tcBorders>
            <w:vAlign w:val="center"/>
          </w:tcPr>
          <w:p>
            <w:pPr>
              <w:widowControl/>
              <w:jc w:val="center"/>
              <w:rPr>
                <w:color w:val="000000"/>
                <w:kern w:val="0"/>
                <w:sz w:val="24"/>
                <w:highlight w:val="none"/>
              </w:rPr>
            </w:pPr>
            <w:r>
              <w:rPr>
                <w:color w:val="000000"/>
                <w:kern w:val="0"/>
                <w:sz w:val="24"/>
                <w:highlight w:val="none"/>
              </w:rPr>
              <w:t>m</w:t>
            </w:r>
            <w:r>
              <w:rPr>
                <w:color w:val="000000"/>
                <w:kern w:val="0"/>
                <w:sz w:val="24"/>
                <w:highlight w:val="none"/>
                <w:vertAlign w:val="superscript"/>
              </w:rPr>
              <w:t>3</w:t>
            </w:r>
          </w:p>
        </w:tc>
        <w:tc>
          <w:tcPr>
            <w:tcW w:w="720" w:type="dxa"/>
            <w:tcBorders>
              <w:top w:val="nil"/>
              <w:left w:val="nil"/>
              <w:bottom w:val="single" w:color="auto" w:sz="4" w:space="0"/>
              <w:right w:val="single" w:color="auto" w:sz="4" w:space="0"/>
            </w:tcBorders>
            <w:vAlign w:val="center"/>
          </w:tcPr>
          <w:p>
            <w:pPr>
              <w:widowControl/>
              <w:jc w:val="center"/>
              <w:rPr>
                <w:color w:val="000000"/>
                <w:kern w:val="0"/>
                <w:sz w:val="24"/>
                <w:highlight w:val="none"/>
              </w:rPr>
            </w:pPr>
            <w:r>
              <w:rPr>
                <w:rFonts w:hint="eastAsia"/>
                <w:color w:val="000000"/>
                <w:kern w:val="0"/>
                <w:sz w:val="24"/>
                <w:highlight w:val="none"/>
              </w:rPr>
              <w:t>27</w:t>
            </w:r>
          </w:p>
        </w:tc>
        <w:tc>
          <w:tcPr>
            <w:tcW w:w="705" w:type="dxa"/>
            <w:tcBorders>
              <w:top w:val="nil"/>
              <w:left w:val="nil"/>
              <w:bottom w:val="single" w:color="auto" w:sz="4" w:space="0"/>
              <w:right w:val="single" w:color="auto" w:sz="4" w:space="0"/>
            </w:tcBorders>
            <w:vAlign w:val="center"/>
          </w:tcPr>
          <w:p>
            <w:pPr>
              <w:widowControl/>
              <w:jc w:val="right"/>
              <w:rPr>
                <w:color w:val="000000"/>
                <w:kern w:val="0"/>
                <w:sz w:val="24"/>
                <w:highlight w:val="none"/>
              </w:rPr>
            </w:pPr>
          </w:p>
        </w:tc>
        <w:tc>
          <w:tcPr>
            <w:tcW w:w="870" w:type="dxa"/>
            <w:tcBorders>
              <w:top w:val="nil"/>
              <w:left w:val="nil"/>
              <w:bottom w:val="single" w:color="auto" w:sz="4" w:space="0"/>
              <w:right w:val="single" w:color="auto" w:sz="4" w:space="0"/>
            </w:tcBorders>
            <w:vAlign w:val="center"/>
          </w:tcPr>
          <w:p>
            <w:pPr>
              <w:widowControl/>
              <w:jc w:val="center"/>
              <w:rPr>
                <w:color w:val="000000"/>
                <w:kern w:val="0"/>
                <w:sz w:val="24"/>
                <w:highlight w:val="none"/>
              </w:rPr>
            </w:pPr>
          </w:p>
        </w:tc>
        <w:tc>
          <w:tcPr>
            <w:tcW w:w="186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地下封闭式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9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highlight w:val="none"/>
              </w:rPr>
            </w:pPr>
          </w:p>
        </w:tc>
        <w:tc>
          <w:tcPr>
            <w:tcW w:w="161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消毒池</w:t>
            </w:r>
          </w:p>
        </w:tc>
        <w:tc>
          <w:tcPr>
            <w:tcW w:w="2085" w:type="dxa"/>
            <w:tcBorders>
              <w:top w:val="nil"/>
              <w:left w:val="nil"/>
              <w:bottom w:val="single" w:color="auto" w:sz="4" w:space="0"/>
              <w:right w:val="single" w:color="auto" w:sz="4" w:space="0"/>
            </w:tcBorders>
            <w:vAlign w:val="center"/>
          </w:tcPr>
          <w:p>
            <w:pPr>
              <w:widowControl/>
              <w:jc w:val="left"/>
              <w:rPr>
                <w:color w:val="000000"/>
                <w:kern w:val="0"/>
                <w:sz w:val="24"/>
                <w:highlight w:val="none"/>
              </w:rPr>
            </w:pPr>
            <w:r>
              <w:rPr>
                <w:rFonts w:hint="eastAsia"/>
                <w:color w:val="000000"/>
                <w:kern w:val="0"/>
                <w:sz w:val="24"/>
                <w:highlight w:val="none"/>
              </w:rPr>
              <w:t>1.5</w:t>
            </w:r>
            <w:r>
              <w:rPr>
                <w:color w:val="000000"/>
                <w:kern w:val="0"/>
                <w:sz w:val="24"/>
                <w:highlight w:val="none"/>
              </w:rPr>
              <w:t>×</w:t>
            </w:r>
            <w:r>
              <w:rPr>
                <w:rFonts w:hint="eastAsia"/>
                <w:color w:val="000000"/>
                <w:kern w:val="0"/>
                <w:sz w:val="24"/>
                <w:highlight w:val="none"/>
              </w:rPr>
              <w:t>1.5</w:t>
            </w:r>
            <w:r>
              <w:rPr>
                <w:color w:val="000000"/>
                <w:kern w:val="0"/>
                <w:sz w:val="24"/>
                <w:highlight w:val="none"/>
              </w:rPr>
              <w:t>×</w:t>
            </w:r>
            <w:r>
              <w:rPr>
                <w:rFonts w:hint="eastAsia"/>
                <w:color w:val="000000"/>
                <w:kern w:val="0"/>
                <w:sz w:val="24"/>
                <w:highlight w:val="none"/>
              </w:rPr>
              <w:t>2.5m</w:t>
            </w:r>
          </w:p>
        </w:tc>
        <w:tc>
          <w:tcPr>
            <w:tcW w:w="735" w:type="dxa"/>
            <w:tcBorders>
              <w:top w:val="nil"/>
              <w:left w:val="nil"/>
              <w:bottom w:val="single" w:color="auto" w:sz="4" w:space="0"/>
              <w:right w:val="single" w:color="auto" w:sz="4" w:space="0"/>
            </w:tcBorders>
            <w:vAlign w:val="center"/>
          </w:tcPr>
          <w:p>
            <w:pPr>
              <w:widowControl/>
              <w:jc w:val="center"/>
              <w:rPr>
                <w:color w:val="000000"/>
                <w:kern w:val="0"/>
                <w:sz w:val="24"/>
                <w:highlight w:val="none"/>
              </w:rPr>
            </w:pPr>
            <w:r>
              <w:rPr>
                <w:color w:val="000000"/>
                <w:kern w:val="0"/>
                <w:sz w:val="24"/>
                <w:highlight w:val="none"/>
              </w:rPr>
              <w:t>m</w:t>
            </w:r>
            <w:r>
              <w:rPr>
                <w:color w:val="000000"/>
                <w:kern w:val="0"/>
                <w:sz w:val="24"/>
                <w:highlight w:val="none"/>
                <w:vertAlign w:val="superscript"/>
              </w:rPr>
              <w:t>3</w:t>
            </w:r>
          </w:p>
        </w:tc>
        <w:tc>
          <w:tcPr>
            <w:tcW w:w="720" w:type="dxa"/>
            <w:tcBorders>
              <w:top w:val="nil"/>
              <w:left w:val="nil"/>
              <w:bottom w:val="single" w:color="auto" w:sz="4" w:space="0"/>
              <w:right w:val="single" w:color="auto" w:sz="4" w:space="0"/>
            </w:tcBorders>
            <w:vAlign w:val="center"/>
          </w:tcPr>
          <w:p>
            <w:pPr>
              <w:widowControl/>
              <w:jc w:val="center"/>
              <w:rPr>
                <w:color w:val="000000"/>
                <w:kern w:val="0"/>
                <w:sz w:val="24"/>
                <w:highlight w:val="none"/>
              </w:rPr>
            </w:pPr>
            <w:r>
              <w:rPr>
                <w:rFonts w:hint="eastAsia"/>
                <w:color w:val="000000"/>
                <w:kern w:val="0"/>
                <w:sz w:val="24"/>
                <w:highlight w:val="none"/>
              </w:rPr>
              <w:t>5.5</w:t>
            </w:r>
          </w:p>
        </w:tc>
        <w:tc>
          <w:tcPr>
            <w:tcW w:w="705" w:type="dxa"/>
            <w:tcBorders>
              <w:top w:val="nil"/>
              <w:left w:val="nil"/>
              <w:bottom w:val="single" w:color="auto" w:sz="4" w:space="0"/>
              <w:right w:val="single" w:color="auto" w:sz="4" w:space="0"/>
            </w:tcBorders>
            <w:vAlign w:val="center"/>
          </w:tcPr>
          <w:p>
            <w:pPr>
              <w:widowControl/>
              <w:jc w:val="right"/>
              <w:rPr>
                <w:color w:val="000000"/>
                <w:kern w:val="0"/>
                <w:sz w:val="24"/>
                <w:highlight w:val="none"/>
              </w:rPr>
            </w:pPr>
          </w:p>
        </w:tc>
        <w:tc>
          <w:tcPr>
            <w:tcW w:w="870" w:type="dxa"/>
            <w:tcBorders>
              <w:top w:val="nil"/>
              <w:left w:val="nil"/>
              <w:bottom w:val="single" w:color="auto" w:sz="4" w:space="0"/>
              <w:right w:val="single" w:color="auto" w:sz="4" w:space="0"/>
            </w:tcBorders>
            <w:vAlign w:val="center"/>
          </w:tcPr>
          <w:p>
            <w:pPr>
              <w:widowControl/>
              <w:jc w:val="center"/>
              <w:rPr>
                <w:color w:val="000000"/>
                <w:kern w:val="0"/>
                <w:sz w:val="24"/>
                <w:highlight w:val="none"/>
              </w:rPr>
            </w:pPr>
          </w:p>
        </w:tc>
        <w:tc>
          <w:tcPr>
            <w:tcW w:w="186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9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highlight w:val="none"/>
              </w:rPr>
            </w:pPr>
          </w:p>
        </w:tc>
        <w:tc>
          <w:tcPr>
            <w:tcW w:w="161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污水格栅渠</w:t>
            </w:r>
          </w:p>
        </w:tc>
        <w:tc>
          <w:tcPr>
            <w:tcW w:w="2085" w:type="dxa"/>
            <w:tcBorders>
              <w:top w:val="nil"/>
              <w:left w:val="nil"/>
              <w:bottom w:val="single" w:color="auto" w:sz="4" w:space="0"/>
              <w:right w:val="single" w:color="auto" w:sz="4" w:space="0"/>
            </w:tcBorders>
            <w:vAlign w:val="center"/>
          </w:tcPr>
          <w:p>
            <w:pPr>
              <w:widowControl/>
              <w:jc w:val="left"/>
              <w:rPr>
                <w:color w:val="000000"/>
                <w:kern w:val="0"/>
                <w:sz w:val="24"/>
                <w:highlight w:val="none"/>
              </w:rPr>
            </w:pPr>
            <w:r>
              <w:rPr>
                <w:color w:val="000000"/>
                <w:kern w:val="0"/>
                <w:sz w:val="24"/>
                <w:highlight w:val="none"/>
              </w:rPr>
              <w:t>1.0×0.5×1m</w:t>
            </w:r>
          </w:p>
        </w:tc>
        <w:tc>
          <w:tcPr>
            <w:tcW w:w="735" w:type="dxa"/>
            <w:tcBorders>
              <w:top w:val="nil"/>
              <w:left w:val="nil"/>
              <w:bottom w:val="single" w:color="auto" w:sz="4" w:space="0"/>
              <w:right w:val="single" w:color="auto" w:sz="4" w:space="0"/>
            </w:tcBorders>
            <w:vAlign w:val="center"/>
          </w:tcPr>
          <w:p>
            <w:pPr>
              <w:widowControl/>
              <w:jc w:val="center"/>
              <w:rPr>
                <w:color w:val="000000"/>
                <w:kern w:val="0"/>
                <w:sz w:val="24"/>
                <w:highlight w:val="none"/>
              </w:rPr>
            </w:pPr>
            <w:r>
              <w:rPr>
                <w:color w:val="000000"/>
                <w:kern w:val="0"/>
                <w:sz w:val="24"/>
                <w:highlight w:val="none"/>
              </w:rPr>
              <w:t>m</w:t>
            </w:r>
            <w:r>
              <w:rPr>
                <w:color w:val="000000"/>
                <w:kern w:val="0"/>
                <w:sz w:val="24"/>
                <w:highlight w:val="none"/>
                <w:vertAlign w:val="superscript"/>
              </w:rPr>
              <w:t>3</w:t>
            </w:r>
          </w:p>
        </w:tc>
        <w:tc>
          <w:tcPr>
            <w:tcW w:w="720" w:type="dxa"/>
            <w:tcBorders>
              <w:top w:val="nil"/>
              <w:left w:val="nil"/>
              <w:bottom w:val="single" w:color="auto" w:sz="4" w:space="0"/>
              <w:right w:val="single" w:color="auto" w:sz="4" w:space="0"/>
            </w:tcBorders>
            <w:vAlign w:val="center"/>
          </w:tcPr>
          <w:p>
            <w:pPr>
              <w:widowControl/>
              <w:jc w:val="center"/>
              <w:rPr>
                <w:color w:val="000000"/>
                <w:kern w:val="0"/>
                <w:sz w:val="24"/>
                <w:highlight w:val="none"/>
              </w:rPr>
            </w:pPr>
            <w:r>
              <w:rPr>
                <w:rFonts w:hint="eastAsia"/>
                <w:color w:val="000000"/>
                <w:kern w:val="0"/>
                <w:sz w:val="24"/>
                <w:highlight w:val="none"/>
              </w:rPr>
              <w:t>0.5</w:t>
            </w:r>
            <w:r>
              <w:rPr>
                <w:color w:val="000000"/>
                <w:kern w:val="0"/>
                <w:sz w:val="24"/>
                <w:highlight w:val="none"/>
              </w:rPr>
              <w:t xml:space="preserve"> </w:t>
            </w:r>
          </w:p>
        </w:tc>
        <w:tc>
          <w:tcPr>
            <w:tcW w:w="705" w:type="dxa"/>
            <w:tcBorders>
              <w:top w:val="nil"/>
              <w:left w:val="nil"/>
              <w:bottom w:val="single" w:color="auto" w:sz="4" w:space="0"/>
              <w:right w:val="single" w:color="auto" w:sz="4" w:space="0"/>
            </w:tcBorders>
            <w:vAlign w:val="center"/>
          </w:tcPr>
          <w:p>
            <w:pPr>
              <w:widowControl/>
              <w:jc w:val="right"/>
              <w:rPr>
                <w:color w:val="000000"/>
                <w:kern w:val="0"/>
                <w:sz w:val="24"/>
                <w:highlight w:val="none"/>
              </w:rPr>
            </w:pPr>
          </w:p>
        </w:tc>
        <w:tc>
          <w:tcPr>
            <w:tcW w:w="870" w:type="dxa"/>
            <w:tcBorders>
              <w:top w:val="nil"/>
              <w:left w:val="nil"/>
              <w:bottom w:val="single" w:color="auto" w:sz="4" w:space="0"/>
              <w:right w:val="single" w:color="auto" w:sz="4" w:space="0"/>
            </w:tcBorders>
            <w:vAlign w:val="center"/>
          </w:tcPr>
          <w:p>
            <w:pPr>
              <w:widowControl/>
              <w:jc w:val="center"/>
              <w:rPr>
                <w:color w:val="000000"/>
                <w:kern w:val="0"/>
                <w:sz w:val="24"/>
                <w:highlight w:val="none"/>
              </w:rPr>
            </w:pPr>
          </w:p>
        </w:tc>
        <w:tc>
          <w:tcPr>
            <w:tcW w:w="186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69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highlight w:val="none"/>
              </w:rPr>
            </w:pPr>
          </w:p>
        </w:tc>
        <w:tc>
          <w:tcPr>
            <w:tcW w:w="161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一体化</w:t>
            </w:r>
          </w:p>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基槽基础</w:t>
            </w:r>
          </w:p>
        </w:tc>
        <w:tc>
          <w:tcPr>
            <w:tcW w:w="2085" w:type="dxa"/>
            <w:tcBorders>
              <w:top w:val="nil"/>
              <w:left w:val="nil"/>
              <w:bottom w:val="single" w:color="auto" w:sz="4" w:space="0"/>
              <w:right w:val="single" w:color="auto" w:sz="4" w:space="0"/>
            </w:tcBorders>
            <w:vAlign w:val="center"/>
          </w:tcPr>
          <w:p>
            <w:pPr>
              <w:widowControl/>
              <w:jc w:val="left"/>
              <w:rPr>
                <w:color w:val="000000"/>
                <w:kern w:val="0"/>
                <w:sz w:val="24"/>
                <w:highlight w:val="none"/>
              </w:rPr>
            </w:pPr>
            <w:r>
              <w:rPr>
                <w:rFonts w:hint="eastAsia"/>
                <w:sz w:val="24"/>
                <w:highlight w:val="none"/>
              </w:rPr>
              <w:t>10</w:t>
            </w:r>
            <w:r>
              <w:rPr>
                <w:color w:val="000000"/>
                <w:kern w:val="0"/>
                <w:sz w:val="24"/>
                <w:highlight w:val="none"/>
              </w:rPr>
              <w:t>×</w:t>
            </w:r>
            <w:r>
              <w:rPr>
                <w:rFonts w:hint="eastAsia"/>
                <w:sz w:val="24"/>
                <w:highlight w:val="none"/>
              </w:rPr>
              <w:t>3.6</w:t>
            </w:r>
            <w:r>
              <w:rPr>
                <w:color w:val="000000"/>
                <w:kern w:val="0"/>
                <w:sz w:val="24"/>
                <w:highlight w:val="none"/>
              </w:rPr>
              <w:t>×</w:t>
            </w:r>
            <w:r>
              <w:rPr>
                <w:rFonts w:hint="eastAsia"/>
                <w:sz w:val="24"/>
                <w:highlight w:val="none"/>
              </w:rPr>
              <w:t>3m</w:t>
            </w:r>
          </w:p>
        </w:tc>
        <w:tc>
          <w:tcPr>
            <w:tcW w:w="735" w:type="dxa"/>
            <w:tcBorders>
              <w:top w:val="nil"/>
              <w:left w:val="nil"/>
              <w:bottom w:val="single" w:color="auto" w:sz="4" w:space="0"/>
              <w:right w:val="single" w:color="auto" w:sz="4" w:space="0"/>
            </w:tcBorders>
            <w:vAlign w:val="center"/>
          </w:tcPr>
          <w:p>
            <w:pPr>
              <w:widowControl/>
              <w:jc w:val="center"/>
              <w:rPr>
                <w:color w:val="000000"/>
                <w:kern w:val="0"/>
                <w:sz w:val="24"/>
                <w:highlight w:val="none"/>
              </w:rPr>
            </w:pPr>
            <w:r>
              <w:rPr>
                <w:color w:val="000000"/>
                <w:kern w:val="0"/>
                <w:sz w:val="24"/>
                <w:highlight w:val="none"/>
              </w:rPr>
              <w:t>m</w:t>
            </w:r>
            <w:r>
              <w:rPr>
                <w:color w:val="000000"/>
                <w:kern w:val="0"/>
                <w:sz w:val="24"/>
                <w:highlight w:val="none"/>
                <w:vertAlign w:val="superscript"/>
              </w:rPr>
              <w:t>2</w:t>
            </w:r>
          </w:p>
        </w:tc>
        <w:tc>
          <w:tcPr>
            <w:tcW w:w="720" w:type="dxa"/>
            <w:tcBorders>
              <w:top w:val="nil"/>
              <w:left w:val="nil"/>
              <w:bottom w:val="single" w:color="auto" w:sz="4" w:space="0"/>
              <w:right w:val="single" w:color="auto" w:sz="4" w:space="0"/>
            </w:tcBorders>
            <w:vAlign w:val="center"/>
          </w:tcPr>
          <w:p>
            <w:pPr>
              <w:widowControl/>
              <w:jc w:val="center"/>
              <w:rPr>
                <w:color w:val="000000"/>
                <w:kern w:val="0"/>
                <w:sz w:val="24"/>
                <w:highlight w:val="none"/>
              </w:rPr>
            </w:pPr>
            <w:r>
              <w:rPr>
                <w:rFonts w:hint="eastAsia"/>
                <w:color w:val="000000"/>
                <w:kern w:val="0"/>
                <w:sz w:val="24"/>
                <w:highlight w:val="none"/>
              </w:rPr>
              <w:t>36</w:t>
            </w:r>
            <w:r>
              <w:rPr>
                <w:color w:val="000000"/>
                <w:kern w:val="0"/>
                <w:sz w:val="24"/>
                <w:highlight w:val="none"/>
              </w:rPr>
              <w:t xml:space="preserve"> </w:t>
            </w:r>
          </w:p>
        </w:tc>
        <w:tc>
          <w:tcPr>
            <w:tcW w:w="705" w:type="dxa"/>
            <w:tcBorders>
              <w:top w:val="nil"/>
              <w:left w:val="nil"/>
              <w:bottom w:val="single" w:color="auto" w:sz="4" w:space="0"/>
              <w:right w:val="single" w:color="auto" w:sz="4" w:space="0"/>
            </w:tcBorders>
            <w:vAlign w:val="center"/>
          </w:tcPr>
          <w:p>
            <w:pPr>
              <w:widowControl/>
              <w:jc w:val="right"/>
              <w:rPr>
                <w:color w:val="000000"/>
                <w:kern w:val="0"/>
                <w:sz w:val="24"/>
                <w:highlight w:val="none"/>
              </w:rPr>
            </w:pPr>
          </w:p>
        </w:tc>
        <w:tc>
          <w:tcPr>
            <w:tcW w:w="870" w:type="dxa"/>
            <w:tcBorders>
              <w:top w:val="nil"/>
              <w:left w:val="nil"/>
              <w:bottom w:val="single" w:color="auto" w:sz="4" w:space="0"/>
              <w:right w:val="single" w:color="auto" w:sz="4" w:space="0"/>
            </w:tcBorders>
            <w:vAlign w:val="center"/>
          </w:tcPr>
          <w:p>
            <w:pPr>
              <w:widowControl/>
              <w:jc w:val="center"/>
              <w:rPr>
                <w:color w:val="000000"/>
                <w:kern w:val="0"/>
                <w:sz w:val="24"/>
                <w:highlight w:val="none"/>
              </w:rPr>
            </w:pPr>
          </w:p>
        </w:tc>
        <w:tc>
          <w:tcPr>
            <w:tcW w:w="186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69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highlight w:val="none"/>
              </w:rPr>
            </w:pPr>
          </w:p>
        </w:tc>
        <w:tc>
          <w:tcPr>
            <w:tcW w:w="161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4"/>
                <w:highlight w:val="none"/>
              </w:rPr>
            </w:pPr>
            <w:r>
              <w:rPr>
                <w:rFonts w:hint="eastAsia" w:ascii="宋体" w:hAnsi="宋体" w:cs="宋体"/>
                <w:color w:val="000000"/>
                <w:kern w:val="0"/>
                <w:sz w:val="24"/>
                <w:highlight w:val="none"/>
              </w:rPr>
              <w:t>基槽垫层</w:t>
            </w:r>
          </w:p>
        </w:tc>
        <w:tc>
          <w:tcPr>
            <w:tcW w:w="2085" w:type="dxa"/>
            <w:tcBorders>
              <w:top w:val="nil"/>
              <w:left w:val="nil"/>
              <w:bottom w:val="single" w:color="auto" w:sz="4" w:space="0"/>
              <w:right w:val="single" w:color="auto" w:sz="4" w:space="0"/>
            </w:tcBorders>
            <w:vAlign w:val="center"/>
          </w:tcPr>
          <w:p>
            <w:pPr>
              <w:widowControl/>
              <w:jc w:val="left"/>
              <w:rPr>
                <w:color w:val="000000"/>
                <w:kern w:val="0"/>
                <w:sz w:val="24"/>
                <w:highlight w:val="none"/>
              </w:rPr>
            </w:pPr>
            <w:r>
              <w:rPr>
                <w:rFonts w:hint="eastAsia"/>
                <w:color w:val="000000"/>
                <w:kern w:val="0"/>
                <w:sz w:val="24"/>
                <w:highlight w:val="none"/>
              </w:rPr>
              <w:t>18</w:t>
            </w:r>
            <w:r>
              <w:rPr>
                <w:color w:val="000000"/>
                <w:kern w:val="0"/>
                <w:sz w:val="24"/>
                <w:highlight w:val="none"/>
              </w:rPr>
              <w:t>×</w:t>
            </w:r>
            <w:r>
              <w:rPr>
                <w:rFonts w:hint="eastAsia"/>
                <w:color w:val="000000"/>
                <w:kern w:val="0"/>
                <w:sz w:val="24"/>
                <w:highlight w:val="none"/>
              </w:rPr>
              <w:t>3m</w:t>
            </w:r>
            <w:r>
              <w:rPr>
                <w:color w:val="000000"/>
                <w:kern w:val="0"/>
                <w:sz w:val="24"/>
                <w:highlight w:val="none"/>
              </w:rPr>
              <w:t>×</w:t>
            </w:r>
            <w:r>
              <w:rPr>
                <w:rFonts w:hint="eastAsia"/>
                <w:color w:val="000000"/>
                <w:kern w:val="0"/>
                <w:sz w:val="24"/>
                <w:highlight w:val="none"/>
              </w:rPr>
              <w:t>30mm</w:t>
            </w:r>
          </w:p>
        </w:tc>
        <w:tc>
          <w:tcPr>
            <w:tcW w:w="735" w:type="dxa"/>
            <w:tcBorders>
              <w:top w:val="nil"/>
              <w:left w:val="nil"/>
              <w:bottom w:val="single" w:color="auto" w:sz="4" w:space="0"/>
              <w:right w:val="single" w:color="auto" w:sz="4" w:space="0"/>
            </w:tcBorders>
            <w:vAlign w:val="center"/>
          </w:tcPr>
          <w:p>
            <w:pPr>
              <w:widowControl/>
              <w:jc w:val="center"/>
              <w:rPr>
                <w:color w:val="000000"/>
                <w:kern w:val="0"/>
                <w:sz w:val="24"/>
                <w:highlight w:val="none"/>
              </w:rPr>
            </w:pPr>
            <w:r>
              <w:rPr>
                <w:color w:val="000000"/>
                <w:kern w:val="0"/>
                <w:sz w:val="24"/>
                <w:highlight w:val="none"/>
              </w:rPr>
              <w:t>m</w:t>
            </w:r>
            <w:r>
              <w:rPr>
                <w:color w:val="000000"/>
                <w:kern w:val="0"/>
                <w:sz w:val="24"/>
                <w:highlight w:val="none"/>
                <w:vertAlign w:val="superscript"/>
              </w:rPr>
              <w:t>2</w:t>
            </w:r>
          </w:p>
        </w:tc>
        <w:tc>
          <w:tcPr>
            <w:tcW w:w="720" w:type="dxa"/>
            <w:tcBorders>
              <w:top w:val="nil"/>
              <w:left w:val="nil"/>
              <w:bottom w:val="single" w:color="auto" w:sz="4" w:space="0"/>
              <w:right w:val="single" w:color="auto" w:sz="4" w:space="0"/>
            </w:tcBorders>
            <w:vAlign w:val="center"/>
          </w:tcPr>
          <w:p>
            <w:pPr>
              <w:widowControl/>
              <w:jc w:val="center"/>
              <w:rPr>
                <w:color w:val="000000"/>
                <w:kern w:val="0"/>
                <w:sz w:val="24"/>
                <w:highlight w:val="none"/>
              </w:rPr>
            </w:pPr>
            <w:r>
              <w:rPr>
                <w:rFonts w:hint="eastAsia"/>
                <w:color w:val="000000"/>
                <w:kern w:val="0"/>
                <w:sz w:val="24"/>
                <w:highlight w:val="none"/>
              </w:rPr>
              <w:t>54</w:t>
            </w:r>
          </w:p>
        </w:tc>
        <w:tc>
          <w:tcPr>
            <w:tcW w:w="705" w:type="dxa"/>
            <w:tcBorders>
              <w:top w:val="nil"/>
              <w:left w:val="nil"/>
              <w:bottom w:val="single" w:color="auto" w:sz="4" w:space="0"/>
              <w:right w:val="single" w:color="auto" w:sz="4" w:space="0"/>
            </w:tcBorders>
            <w:vAlign w:val="center"/>
          </w:tcPr>
          <w:p>
            <w:pPr>
              <w:widowControl/>
              <w:jc w:val="right"/>
              <w:rPr>
                <w:color w:val="000000"/>
                <w:kern w:val="0"/>
                <w:sz w:val="24"/>
                <w:highlight w:val="none"/>
              </w:rPr>
            </w:pPr>
          </w:p>
        </w:tc>
        <w:tc>
          <w:tcPr>
            <w:tcW w:w="870" w:type="dxa"/>
            <w:tcBorders>
              <w:top w:val="nil"/>
              <w:left w:val="nil"/>
              <w:bottom w:val="single" w:color="auto" w:sz="4" w:space="0"/>
              <w:right w:val="single" w:color="auto" w:sz="4" w:space="0"/>
            </w:tcBorders>
            <w:vAlign w:val="center"/>
          </w:tcPr>
          <w:p>
            <w:pPr>
              <w:widowControl/>
              <w:jc w:val="center"/>
              <w:rPr>
                <w:color w:val="000000"/>
                <w:kern w:val="0"/>
                <w:sz w:val="24"/>
                <w:highlight w:val="none"/>
              </w:rPr>
            </w:pPr>
          </w:p>
        </w:tc>
        <w:tc>
          <w:tcPr>
            <w:tcW w:w="186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69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highlight w:val="none"/>
              </w:rPr>
            </w:pPr>
          </w:p>
        </w:tc>
        <w:tc>
          <w:tcPr>
            <w:tcW w:w="161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基槽开挖</w:t>
            </w:r>
          </w:p>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与回填</w:t>
            </w:r>
          </w:p>
        </w:tc>
        <w:tc>
          <w:tcPr>
            <w:tcW w:w="2085" w:type="dxa"/>
            <w:tcBorders>
              <w:top w:val="nil"/>
              <w:left w:val="nil"/>
              <w:bottom w:val="single" w:color="auto" w:sz="4" w:space="0"/>
              <w:right w:val="single" w:color="auto" w:sz="4" w:space="0"/>
            </w:tcBorders>
            <w:vAlign w:val="center"/>
          </w:tcPr>
          <w:p>
            <w:pPr>
              <w:widowControl/>
              <w:jc w:val="left"/>
              <w:rPr>
                <w:color w:val="000000"/>
                <w:kern w:val="0"/>
                <w:sz w:val="24"/>
                <w:highlight w:val="none"/>
              </w:rPr>
            </w:pPr>
            <w:r>
              <w:rPr>
                <w:rFonts w:hint="eastAsia"/>
                <w:color w:val="000000"/>
                <w:kern w:val="0"/>
                <w:sz w:val="24"/>
                <w:highlight w:val="none"/>
              </w:rPr>
              <w:t>18</w:t>
            </w:r>
            <w:r>
              <w:rPr>
                <w:color w:val="000000"/>
                <w:kern w:val="0"/>
                <w:sz w:val="24"/>
                <w:highlight w:val="none"/>
              </w:rPr>
              <w:t>×</w:t>
            </w:r>
            <w:r>
              <w:rPr>
                <w:rFonts w:hint="eastAsia"/>
                <w:color w:val="000000"/>
                <w:kern w:val="0"/>
                <w:sz w:val="24"/>
                <w:highlight w:val="none"/>
              </w:rPr>
              <w:t>3</w:t>
            </w:r>
            <w:r>
              <w:rPr>
                <w:color w:val="000000"/>
                <w:kern w:val="0"/>
                <w:sz w:val="24"/>
                <w:highlight w:val="none"/>
              </w:rPr>
              <w:t>.0×</w:t>
            </w:r>
            <w:r>
              <w:rPr>
                <w:rFonts w:hint="eastAsia"/>
                <w:color w:val="000000"/>
                <w:kern w:val="0"/>
                <w:sz w:val="24"/>
                <w:highlight w:val="none"/>
              </w:rPr>
              <w:t>3.0</w:t>
            </w:r>
            <w:r>
              <w:rPr>
                <w:color w:val="000000"/>
                <w:kern w:val="0"/>
                <w:sz w:val="24"/>
                <w:highlight w:val="none"/>
              </w:rPr>
              <w:t xml:space="preserve"> m</w:t>
            </w:r>
          </w:p>
        </w:tc>
        <w:tc>
          <w:tcPr>
            <w:tcW w:w="735" w:type="dxa"/>
            <w:tcBorders>
              <w:top w:val="nil"/>
              <w:left w:val="nil"/>
              <w:bottom w:val="single" w:color="auto" w:sz="4" w:space="0"/>
              <w:right w:val="single" w:color="auto" w:sz="4" w:space="0"/>
            </w:tcBorders>
            <w:vAlign w:val="center"/>
          </w:tcPr>
          <w:p>
            <w:pPr>
              <w:widowControl/>
              <w:jc w:val="center"/>
              <w:rPr>
                <w:color w:val="000000"/>
                <w:kern w:val="0"/>
                <w:sz w:val="24"/>
                <w:highlight w:val="none"/>
              </w:rPr>
            </w:pPr>
            <w:r>
              <w:rPr>
                <w:color w:val="000000"/>
                <w:kern w:val="0"/>
                <w:sz w:val="24"/>
                <w:highlight w:val="none"/>
              </w:rPr>
              <w:t>m</w:t>
            </w:r>
            <w:r>
              <w:rPr>
                <w:color w:val="000000"/>
                <w:kern w:val="0"/>
                <w:sz w:val="24"/>
                <w:highlight w:val="none"/>
                <w:vertAlign w:val="superscript"/>
              </w:rPr>
              <w:t>3</w:t>
            </w:r>
          </w:p>
        </w:tc>
        <w:tc>
          <w:tcPr>
            <w:tcW w:w="720" w:type="dxa"/>
            <w:tcBorders>
              <w:top w:val="nil"/>
              <w:left w:val="nil"/>
              <w:bottom w:val="single" w:color="auto" w:sz="4" w:space="0"/>
              <w:right w:val="single" w:color="auto" w:sz="4" w:space="0"/>
            </w:tcBorders>
            <w:vAlign w:val="center"/>
          </w:tcPr>
          <w:p>
            <w:pPr>
              <w:widowControl/>
              <w:jc w:val="center"/>
              <w:rPr>
                <w:color w:val="000000"/>
                <w:kern w:val="0"/>
                <w:sz w:val="24"/>
                <w:highlight w:val="none"/>
              </w:rPr>
            </w:pPr>
            <w:r>
              <w:rPr>
                <w:rFonts w:hint="eastAsia"/>
                <w:color w:val="000000"/>
                <w:kern w:val="0"/>
                <w:sz w:val="24"/>
                <w:highlight w:val="none"/>
              </w:rPr>
              <w:t>117</w:t>
            </w:r>
            <w:r>
              <w:rPr>
                <w:color w:val="000000"/>
                <w:kern w:val="0"/>
                <w:sz w:val="24"/>
                <w:highlight w:val="none"/>
              </w:rPr>
              <w:t>　</w:t>
            </w:r>
          </w:p>
        </w:tc>
        <w:tc>
          <w:tcPr>
            <w:tcW w:w="705" w:type="dxa"/>
            <w:tcBorders>
              <w:top w:val="nil"/>
              <w:left w:val="nil"/>
              <w:bottom w:val="single" w:color="auto" w:sz="4" w:space="0"/>
              <w:right w:val="single" w:color="auto" w:sz="4" w:space="0"/>
            </w:tcBorders>
            <w:vAlign w:val="center"/>
          </w:tcPr>
          <w:p>
            <w:pPr>
              <w:widowControl/>
              <w:jc w:val="right"/>
              <w:rPr>
                <w:color w:val="000000"/>
                <w:kern w:val="0"/>
                <w:sz w:val="24"/>
                <w:highlight w:val="none"/>
              </w:rPr>
            </w:pPr>
          </w:p>
        </w:tc>
        <w:tc>
          <w:tcPr>
            <w:tcW w:w="870" w:type="dxa"/>
            <w:tcBorders>
              <w:top w:val="nil"/>
              <w:left w:val="nil"/>
              <w:bottom w:val="single" w:color="auto" w:sz="4" w:space="0"/>
              <w:right w:val="single" w:color="auto" w:sz="4" w:space="0"/>
            </w:tcBorders>
            <w:vAlign w:val="center"/>
          </w:tcPr>
          <w:p>
            <w:pPr>
              <w:widowControl/>
              <w:jc w:val="center"/>
              <w:rPr>
                <w:color w:val="000000"/>
                <w:kern w:val="0"/>
                <w:sz w:val="24"/>
                <w:highlight w:val="none"/>
              </w:rPr>
            </w:pPr>
          </w:p>
        </w:tc>
        <w:tc>
          <w:tcPr>
            <w:tcW w:w="186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不含泥土外运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69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highlight w:val="none"/>
              </w:rPr>
            </w:pPr>
          </w:p>
        </w:tc>
        <w:tc>
          <w:tcPr>
            <w:tcW w:w="161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景观房机房</w:t>
            </w:r>
          </w:p>
        </w:tc>
        <w:tc>
          <w:tcPr>
            <w:tcW w:w="2085" w:type="dxa"/>
            <w:tcBorders>
              <w:top w:val="nil"/>
              <w:left w:val="nil"/>
              <w:bottom w:val="single" w:color="auto" w:sz="4" w:space="0"/>
              <w:right w:val="single" w:color="auto" w:sz="4" w:space="0"/>
            </w:tcBorders>
            <w:vAlign w:val="center"/>
          </w:tcPr>
          <w:p>
            <w:pPr>
              <w:widowControl/>
              <w:jc w:val="left"/>
              <w:rPr>
                <w:color w:val="000000"/>
                <w:kern w:val="0"/>
                <w:sz w:val="24"/>
                <w:highlight w:val="none"/>
              </w:rPr>
            </w:pPr>
            <w:r>
              <w:rPr>
                <w:rFonts w:hint="eastAsia"/>
                <w:color w:val="000000"/>
                <w:kern w:val="0"/>
                <w:sz w:val="24"/>
                <w:highlight w:val="none"/>
              </w:rPr>
              <w:t>2.5</w:t>
            </w:r>
            <w:r>
              <w:rPr>
                <w:color w:val="000000"/>
                <w:kern w:val="0"/>
                <w:sz w:val="24"/>
                <w:highlight w:val="none"/>
              </w:rPr>
              <w:t>×</w:t>
            </w:r>
            <w:r>
              <w:rPr>
                <w:rFonts w:hint="eastAsia"/>
                <w:color w:val="000000"/>
                <w:kern w:val="0"/>
                <w:sz w:val="24"/>
                <w:highlight w:val="none"/>
              </w:rPr>
              <w:t>3</w:t>
            </w:r>
            <w:r>
              <w:rPr>
                <w:color w:val="000000"/>
                <w:kern w:val="0"/>
                <w:sz w:val="24"/>
                <w:highlight w:val="none"/>
              </w:rPr>
              <w:t>×</w:t>
            </w:r>
            <w:r>
              <w:rPr>
                <w:rFonts w:hint="eastAsia"/>
                <w:color w:val="000000"/>
                <w:kern w:val="0"/>
                <w:sz w:val="24"/>
                <w:highlight w:val="none"/>
              </w:rPr>
              <w:t>3m</w:t>
            </w:r>
          </w:p>
        </w:tc>
        <w:tc>
          <w:tcPr>
            <w:tcW w:w="735" w:type="dxa"/>
            <w:tcBorders>
              <w:top w:val="nil"/>
              <w:left w:val="nil"/>
              <w:bottom w:val="single" w:color="auto" w:sz="4" w:space="0"/>
              <w:right w:val="single" w:color="auto" w:sz="4" w:space="0"/>
            </w:tcBorders>
            <w:vAlign w:val="center"/>
          </w:tcPr>
          <w:p>
            <w:pPr>
              <w:widowControl/>
              <w:jc w:val="center"/>
              <w:rPr>
                <w:color w:val="000000"/>
                <w:kern w:val="0"/>
                <w:sz w:val="24"/>
                <w:highlight w:val="none"/>
              </w:rPr>
            </w:pPr>
            <w:r>
              <w:rPr>
                <w:color w:val="000000"/>
                <w:kern w:val="0"/>
                <w:sz w:val="24"/>
                <w:highlight w:val="none"/>
              </w:rPr>
              <w:t>m</w:t>
            </w:r>
            <w:r>
              <w:rPr>
                <w:color w:val="000000"/>
                <w:kern w:val="0"/>
                <w:sz w:val="24"/>
                <w:highlight w:val="none"/>
                <w:vertAlign w:val="superscript"/>
              </w:rPr>
              <w:t>2</w:t>
            </w:r>
          </w:p>
        </w:tc>
        <w:tc>
          <w:tcPr>
            <w:tcW w:w="720" w:type="dxa"/>
            <w:tcBorders>
              <w:top w:val="nil"/>
              <w:left w:val="nil"/>
              <w:bottom w:val="single" w:color="auto" w:sz="4" w:space="0"/>
              <w:right w:val="single" w:color="auto" w:sz="4" w:space="0"/>
            </w:tcBorders>
            <w:vAlign w:val="center"/>
          </w:tcPr>
          <w:p>
            <w:pPr>
              <w:widowControl/>
              <w:jc w:val="center"/>
              <w:rPr>
                <w:color w:val="000000"/>
                <w:kern w:val="0"/>
                <w:sz w:val="24"/>
                <w:highlight w:val="none"/>
              </w:rPr>
            </w:pPr>
            <w:r>
              <w:rPr>
                <w:rFonts w:hint="eastAsia"/>
                <w:color w:val="000000"/>
                <w:kern w:val="0"/>
                <w:sz w:val="24"/>
                <w:highlight w:val="none"/>
              </w:rPr>
              <w:t>8</w:t>
            </w:r>
          </w:p>
        </w:tc>
        <w:tc>
          <w:tcPr>
            <w:tcW w:w="705" w:type="dxa"/>
            <w:tcBorders>
              <w:top w:val="nil"/>
              <w:left w:val="nil"/>
              <w:bottom w:val="single" w:color="auto" w:sz="4" w:space="0"/>
              <w:right w:val="single" w:color="auto" w:sz="4" w:space="0"/>
            </w:tcBorders>
            <w:vAlign w:val="center"/>
          </w:tcPr>
          <w:p>
            <w:pPr>
              <w:widowControl/>
              <w:jc w:val="right"/>
              <w:rPr>
                <w:color w:val="000000"/>
                <w:kern w:val="0"/>
                <w:sz w:val="24"/>
                <w:highlight w:val="none"/>
              </w:rPr>
            </w:pPr>
          </w:p>
        </w:tc>
        <w:tc>
          <w:tcPr>
            <w:tcW w:w="870" w:type="dxa"/>
            <w:tcBorders>
              <w:top w:val="nil"/>
              <w:left w:val="nil"/>
              <w:bottom w:val="single" w:color="auto" w:sz="4" w:space="0"/>
              <w:right w:val="single" w:color="auto" w:sz="4" w:space="0"/>
            </w:tcBorders>
            <w:vAlign w:val="center"/>
          </w:tcPr>
          <w:p>
            <w:pPr>
              <w:widowControl/>
              <w:jc w:val="center"/>
              <w:rPr>
                <w:color w:val="000000"/>
                <w:kern w:val="0"/>
                <w:sz w:val="24"/>
                <w:highlight w:val="none"/>
              </w:rPr>
            </w:pPr>
          </w:p>
        </w:tc>
        <w:tc>
          <w:tcPr>
            <w:tcW w:w="186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69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highlight w:val="none"/>
              </w:rPr>
            </w:pPr>
          </w:p>
        </w:tc>
        <w:tc>
          <w:tcPr>
            <w:tcW w:w="161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基槽设备回填停车场</w:t>
            </w:r>
          </w:p>
        </w:tc>
        <w:tc>
          <w:tcPr>
            <w:tcW w:w="2085" w:type="dxa"/>
            <w:tcBorders>
              <w:top w:val="nil"/>
              <w:left w:val="nil"/>
              <w:bottom w:val="single" w:color="auto" w:sz="4" w:space="0"/>
              <w:right w:val="single" w:color="auto" w:sz="4" w:space="0"/>
            </w:tcBorders>
            <w:vAlign w:val="center"/>
          </w:tcPr>
          <w:p>
            <w:pPr>
              <w:widowControl/>
              <w:jc w:val="left"/>
              <w:rPr>
                <w:color w:val="000000"/>
                <w:kern w:val="0"/>
                <w:sz w:val="24"/>
                <w:highlight w:val="none"/>
              </w:rPr>
            </w:pPr>
            <w:r>
              <w:rPr>
                <w:rFonts w:hint="eastAsia"/>
                <w:color w:val="000000"/>
                <w:kern w:val="0"/>
                <w:sz w:val="24"/>
                <w:highlight w:val="none"/>
              </w:rPr>
              <w:t>18</w:t>
            </w:r>
            <w:r>
              <w:rPr>
                <w:color w:val="000000"/>
                <w:kern w:val="0"/>
                <w:sz w:val="24"/>
                <w:highlight w:val="none"/>
              </w:rPr>
              <w:t>×</w:t>
            </w:r>
            <w:r>
              <w:rPr>
                <w:rFonts w:hint="eastAsia"/>
                <w:color w:val="000000"/>
                <w:kern w:val="0"/>
                <w:sz w:val="24"/>
                <w:highlight w:val="none"/>
              </w:rPr>
              <w:t>3</w:t>
            </w:r>
            <w:r>
              <w:rPr>
                <w:color w:val="000000"/>
                <w:kern w:val="0"/>
                <w:sz w:val="24"/>
                <w:highlight w:val="none"/>
              </w:rPr>
              <w:t>.0×</w:t>
            </w:r>
            <w:r>
              <w:rPr>
                <w:rFonts w:hint="eastAsia"/>
                <w:color w:val="000000"/>
                <w:kern w:val="0"/>
                <w:sz w:val="24"/>
                <w:highlight w:val="none"/>
              </w:rPr>
              <w:t>30</w:t>
            </w:r>
            <w:r>
              <w:rPr>
                <w:color w:val="000000"/>
                <w:kern w:val="0"/>
                <w:sz w:val="24"/>
                <w:highlight w:val="none"/>
              </w:rPr>
              <w:t xml:space="preserve"> m</w:t>
            </w:r>
            <w:r>
              <w:rPr>
                <w:rFonts w:hint="eastAsia"/>
                <w:color w:val="000000"/>
                <w:kern w:val="0"/>
                <w:sz w:val="24"/>
                <w:highlight w:val="none"/>
              </w:rPr>
              <w:t>m</w:t>
            </w:r>
          </w:p>
        </w:tc>
        <w:tc>
          <w:tcPr>
            <w:tcW w:w="735" w:type="dxa"/>
            <w:tcBorders>
              <w:top w:val="nil"/>
              <w:left w:val="nil"/>
              <w:bottom w:val="single" w:color="auto" w:sz="4" w:space="0"/>
              <w:right w:val="single" w:color="auto" w:sz="4" w:space="0"/>
            </w:tcBorders>
            <w:vAlign w:val="center"/>
          </w:tcPr>
          <w:p>
            <w:pPr>
              <w:widowControl/>
              <w:jc w:val="center"/>
              <w:rPr>
                <w:color w:val="000000"/>
                <w:kern w:val="0"/>
                <w:sz w:val="24"/>
                <w:highlight w:val="none"/>
              </w:rPr>
            </w:pPr>
            <w:r>
              <w:rPr>
                <w:color w:val="000000"/>
                <w:kern w:val="0"/>
                <w:sz w:val="24"/>
                <w:highlight w:val="none"/>
              </w:rPr>
              <w:t>m</w:t>
            </w:r>
            <w:r>
              <w:rPr>
                <w:color w:val="000000"/>
                <w:kern w:val="0"/>
                <w:sz w:val="24"/>
                <w:highlight w:val="none"/>
                <w:vertAlign w:val="superscript"/>
              </w:rPr>
              <w:t>2</w:t>
            </w:r>
          </w:p>
        </w:tc>
        <w:tc>
          <w:tcPr>
            <w:tcW w:w="720" w:type="dxa"/>
            <w:tcBorders>
              <w:top w:val="nil"/>
              <w:left w:val="nil"/>
              <w:bottom w:val="single" w:color="auto" w:sz="4" w:space="0"/>
              <w:right w:val="single" w:color="auto" w:sz="4" w:space="0"/>
            </w:tcBorders>
            <w:vAlign w:val="center"/>
          </w:tcPr>
          <w:p>
            <w:pPr>
              <w:widowControl/>
              <w:jc w:val="center"/>
              <w:rPr>
                <w:color w:val="000000"/>
                <w:kern w:val="0"/>
                <w:sz w:val="24"/>
                <w:highlight w:val="none"/>
              </w:rPr>
            </w:pPr>
            <w:r>
              <w:rPr>
                <w:rFonts w:hint="eastAsia"/>
                <w:color w:val="000000"/>
                <w:kern w:val="0"/>
                <w:sz w:val="24"/>
                <w:highlight w:val="none"/>
              </w:rPr>
              <w:t>54</w:t>
            </w:r>
          </w:p>
        </w:tc>
        <w:tc>
          <w:tcPr>
            <w:tcW w:w="705" w:type="dxa"/>
            <w:tcBorders>
              <w:top w:val="nil"/>
              <w:left w:val="nil"/>
              <w:bottom w:val="single" w:color="auto" w:sz="4" w:space="0"/>
              <w:right w:val="single" w:color="auto" w:sz="4" w:space="0"/>
            </w:tcBorders>
            <w:vAlign w:val="center"/>
          </w:tcPr>
          <w:p>
            <w:pPr>
              <w:widowControl/>
              <w:jc w:val="right"/>
              <w:rPr>
                <w:color w:val="000000"/>
                <w:kern w:val="0"/>
                <w:sz w:val="24"/>
                <w:highlight w:val="none"/>
              </w:rPr>
            </w:pPr>
          </w:p>
        </w:tc>
        <w:tc>
          <w:tcPr>
            <w:tcW w:w="870" w:type="dxa"/>
            <w:tcBorders>
              <w:top w:val="nil"/>
              <w:left w:val="nil"/>
              <w:bottom w:val="single" w:color="auto" w:sz="4" w:space="0"/>
              <w:right w:val="single" w:color="auto" w:sz="4" w:space="0"/>
            </w:tcBorders>
            <w:vAlign w:val="center"/>
          </w:tcPr>
          <w:p>
            <w:pPr>
              <w:widowControl/>
              <w:jc w:val="center"/>
              <w:rPr>
                <w:color w:val="000000"/>
                <w:kern w:val="0"/>
                <w:sz w:val="24"/>
                <w:highlight w:val="none"/>
              </w:rPr>
            </w:pPr>
          </w:p>
        </w:tc>
        <w:tc>
          <w:tcPr>
            <w:tcW w:w="186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9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highlight w:val="none"/>
              </w:rPr>
            </w:pPr>
          </w:p>
        </w:tc>
        <w:tc>
          <w:tcPr>
            <w:tcW w:w="161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小计</w:t>
            </w:r>
          </w:p>
        </w:tc>
        <w:tc>
          <w:tcPr>
            <w:tcW w:w="2085" w:type="dxa"/>
            <w:tcBorders>
              <w:top w:val="nil"/>
              <w:left w:val="nil"/>
              <w:bottom w:val="single" w:color="auto" w:sz="4" w:space="0"/>
              <w:right w:val="single" w:color="auto" w:sz="4" w:space="0"/>
            </w:tcBorders>
            <w:vAlign w:val="center"/>
          </w:tcPr>
          <w:p>
            <w:pPr>
              <w:widowControl/>
              <w:jc w:val="left"/>
              <w:rPr>
                <w:color w:val="000000"/>
                <w:kern w:val="0"/>
                <w:sz w:val="24"/>
                <w:highlight w:val="none"/>
              </w:rPr>
            </w:pPr>
            <w:r>
              <w:rPr>
                <w:color w:val="000000"/>
                <w:kern w:val="0"/>
                <w:sz w:val="24"/>
                <w:highlight w:val="none"/>
              </w:rPr>
              <w:t>　</w:t>
            </w:r>
          </w:p>
        </w:tc>
        <w:tc>
          <w:tcPr>
            <w:tcW w:w="735" w:type="dxa"/>
            <w:tcBorders>
              <w:top w:val="nil"/>
              <w:left w:val="nil"/>
              <w:bottom w:val="single" w:color="auto" w:sz="4" w:space="0"/>
              <w:right w:val="single" w:color="auto" w:sz="4" w:space="0"/>
            </w:tcBorders>
            <w:vAlign w:val="center"/>
          </w:tcPr>
          <w:p>
            <w:pPr>
              <w:widowControl/>
              <w:jc w:val="center"/>
              <w:rPr>
                <w:color w:val="000000"/>
                <w:kern w:val="0"/>
                <w:sz w:val="24"/>
                <w:highlight w:val="none"/>
              </w:rPr>
            </w:pPr>
            <w:r>
              <w:rPr>
                <w:color w:val="000000"/>
                <w:kern w:val="0"/>
                <w:sz w:val="24"/>
                <w:highlight w:val="none"/>
              </w:rPr>
              <w:t>　</w:t>
            </w:r>
          </w:p>
        </w:tc>
        <w:tc>
          <w:tcPr>
            <w:tcW w:w="720" w:type="dxa"/>
            <w:tcBorders>
              <w:top w:val="nil"/>
              <w:left w:val="nil"/>
              <w:bottom w:val="single" w:color="auto" w:sz="4" w:space="0"/>
              <w:right w:val="single" w:color="auto" w:sz="4" w:space="0"/>
            </w:tcBorders>
            <w:vAlign w:val="center"/>
          </w:tcPr>
          <w:p>
            <w:pPr>
              <w:widowControl/>
              <w:jc w:val="center"/>
              <w:rPr>
                <w:color w:val="000000"/>
                <w:kern w:val="0"/>
                <w:sz w:val="24"/>
                <w:highlight w:val="none"/>
              </w:rPr>
            </w:pPr>
            <w:r>
              <w:rPr>
                <w:color w:val="000000"/>
                <w:kern w:val="0"/>
                <w:sz w:val="24"/>
                <w:highlight w:val="none"/>
              </w:rPr>
              <w:t>　</w:t>
            </w:r>
          </w:p>
        </w:tc>
        <w:tc>
          <w:tcPr>
            <w:tcW w:w="705" w:type="dxa"/>
            <w:tcBorders>
              <w:top w:val="nil"/>
              <w:left w:val="nil"/>
              <w:bottom w:val="single" w:color="auto" w:sz="4" w:space="0"/>
              <w:right w:val="single" w:color="auto" w:sz="4" w:space="0"/>
            </w:tcBorders>
            <w:vAlign w:val="center"/>
          </w:tcPr>
          <w:p>
            <w:pPr>
              <w:widowControl/>
              <w:jc w:val="right"/>
              <w:rPr>
                <w:color w:val="000000"/>
                <w:kern w:val="0"/>
                <w:sz w:val="24"/>
                <w:highlight w:val="none"/>
              </w:rPr>
            </w:pPr>
            <w:r>
              <w:rPr>
                <w:color w:val="000000"/>
                <w:kern w:val="0"/>
                <w:sz w:val="24"/>
                <w:highlight w:val="none"/>
              </w:rPr>
              <w:t>　</w:t>
            </w:r>
          </w:p>
        </w:tc>
        <w:tc>
          <w:tcPr>
            <w:tcW w:w="870" w:type="dxa"/>
            <w:tcBorders>
              <w:top w:val="nil"/>
              <w:left w:val="nil"/>
              <w:bottom w:val="single" w:color="auto" w:sz="4" w:space="0"/>
              <w:right w:val="single" w:color="auto" w:sz="4" w:space="0"/>
            </w:tcBorders>
            <w:vAlign w:val="center"/>
          </w:tcPr>
          <w:p>
            <w:pPr>
              <w:widowControl/>
              <w:jc w:val="center"/>
              <w:rPr>
                <w:color w:val="000000"/>
                <w:kern w:val="0"/>
                <w:sz w:val="24"/>
                <w:highlight w:val="none"/>
              </w:rPr>
            </w:pPr>
          </w:p>
        </w:tc>
        <w:tc>
          <w:tcPr>
            <w:tcW w:w="1861" w:type="dxa"/>
            <w:tcBorders>
              <w:top w:val="nil"/>
              <w:left w:val="nil"/>
              <w:bottom w:val="single" w:color="auto" w:sz="4" w:space="0"/>
              <w:right w:val="single" w:color="auto" w:sz="4" w:space="0"/>
            </w:tcBorders>
            <w:vAlign w:val="center"/>
          </w:tcPr>
          <w:p>
            <w:pPr>
              <w:widowControl/>
              <w:jc w:val="center"/>
              <w:rPr>
                <w:color w:val="000000"/>
                <w:kern w:val="0"/>
                <w:sz w:val="24"/>
                <w:highlight w:val="none"/>
              </w:rPr>
            </w:pPr>
            <w:r>
              <w:rPr>
                <w:color w:val="000000"/>
                <w:kern w:val="0"/>
                <w:sz w:val="24"/>
                <w:highlight w:val="none"/>
              </w:rPr>
              <w:t>　</w:t>
            </w:r>
          </w:p>
        </w:tc>
      </w:tr>
    </w:tbl>
    <w:p>
      <w:pPr>
        <w:rPr>
          <w:color w:val="000000"/>
          <w:sz w:val="28"/>
          <w:highlight w:val="none"/>
        </w:rPr>
      </w:pPr>
      <w:r>
        <w:rPr>
          <w:rFonts w:hint="eastAsia"/>
          <w:color w:val="000000"/>
          <w:sz w:val="28"/>
          <w:highlight w:val="none"/>
        </w:rPr>
        <w:t>（注：由于无详细地基勘探、如有岩石、降水等情况，则价格另计）</w:t>
      </w:r>
    </w:p>
    <w:p>
      <w:pPr>
        <w:rPr>
          <w:color w:val="000000"/>
          <w:sz w:val="28"/>
          <w:highlight w:val="none"/>
        </w:rPr>
      </w:pPr>
      <w:r>
        <w:rPr>
          <w:rFonts w:hint="eastAsia"/>
          <w:color w:val="000000"/>
          <w:sz w:val="28"/>
          <w:highlight w:val="none"/>
        </w:rPr>
        <w:t>设备部分：</w:t>
      </w:r>
    </w:p>
    <w:tbl>
      <w:tblPr>
        <w:tblW w:w="9207"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8"/>
        <w:gridCol w:w="1593"/>
        <w:gridCol w:w="4157"/>
        <w:gridCol w:w="801"/>
        <w:gridCol w:w="983"/>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548" w:type="dxa"/>
            <w:tcBorders>
              <w:top w:val="single" w:color="auto" w:sz="4" w:space="0"/>
              <w:left w:val="single" w:color="auto" w:sz="4" w:space="0"/>
              <w:bottom w:val="single" w:color="000000"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序号</w:t>
            </w:r>
          </w:p>
        </w:tc>
        <w:tc>
          <w:tcPr>
            <w:tcW w:w="1593" w:type="dxa"/>
            <w:tcBorders>
              <w:top w:val="single" w:color="auto" w:sz="4" w:space="0"/>
              <w:left w:val="single" w:color="auto" w:sz="8" w:space="0"/>
              <w:bottom w:val="single" w:color="000000"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名称</w:t>
            </w:r>
          </w:p>
        </w:tc>
        <w:tc>
          <w:tcPr>
            <w:tcW w:w="4157" w:type="dxa"/>
            <w:tcBorders>
              <w:top w:val="single" w:color="auto" w:sz="4" w:space="0"/>
              <w:left w:val="single" w:color="auto" w:sz="8" w:space="0"/>
              <w:bottom w:val="single" w:color="000000"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规格型号</w:t>
            </w:r>
          </w:p>
        </w:tc>
        <w:tc>
          <w:tcPr>
            <w:tcW w:w="801" w:type="dxa"/>
            <w:tcBorders>
              <w:top w:val="single" w:color="auto" w:sz="4" w:space="0"/>
              <w:left w:val="single" w:color="auto" w:sz="8" w:space="0"/>
              <w:bottom w:val="single" w:color="000000"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数量</w:t>
            </w:r>
          </w:p>
        </w:tc>
        <w:tc>
          <w:tcPr>
            <w:tcW w:w="983" w:type="dxa"/>
            <w:tcBorders>
              <w:top w:val="single" w:color="auto" w:sz="4" w:space="0"/>
              <w:left w:val="single" w:color="auto" w:sz="8" w:space="0"/>
              <w:bottom w:val="single" w:color="000000" w:sz="8" w:space="0"/>
              <w:right w:val="single" w:color="auto" w:sz="8" w:space="0"/>
            </w:tcBorders>
            <w:vAlign w:val="top"/>
          </w:tcPr>
          <w:p>
            <w:pPr>
              <w:widowControl/>
              <w:rPr>
                <w:color w:val="000000"/>
                <w:kern w:val="0"/>
                <w:sz w:val="24"/>
                <w:highlight w:val="none"/>
              </w:rPr>
            </w:pPr>
            <w:r>
              <w:rPr>
                <w:rFonts w:hint="eastAsia"/>
                <w:color w:val="000000"/>
                <w:kern w:val="0"/>
                <w:sz w:val="24"/>
                <w:highlight w:val="none"/>
              </w:rPr>
              <w:t>单项价格（元）</w:t>
            </w:r>
          </w:p>
        </w:tc>
        <w:tc>
          <w:tcPr>
            <w:tcW w:w="1125" w:type="dxa"/>
            <w:tcBorders>
              <w:top w:val="single" w:color="auto" w:sz="4" w:space="0"/>
              <w:left w:val="single" w:color="auto" w:sz="8" w:space="0"/>
              <w:bottom w:val="single" w:color="000000" w:sz="8" w:space="0"/>
              <w:right w:val="single" w:color="auto" w:sz="8" w:space="0"/>
            </w:tcBorders>
            <w:vAlign w:val="top"/>
          </w:tcPr>
          <w:p>
            <w:pPr>
              <w:widowControl/>
              <w:jc w:val="center"/>
              <w:rPr>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trPr>
        <w:tc>
          <w:tcPr>
            <w:tcW w:w="548" w:type="dxa"/>
            <w:tcBorders>
              <w:top w:val="nil"/>
              <w:left w:val="single" w:color="auto" w:sz="4" w:space="0"/>
              <w:bottom w:val="single" w:color="auto" w:sz="8" w:space="0"/>
              <w:right w:val="single" w:color="auto" w:sz="8" w:space="0"/>
            </w:tcBorders>
            <w:vAlign w:val="center"/>
          </w:tcPr>
          <w:p>
            <w:pPr>
              <w:widowControl/>
              <w:jc w:val="center"/>
              <w:rPr>
                <w:color w:val="000000"/>
                <w:kern w:val="0"/>
                <w:sz w:val="24"/>
                <w:highlight w:val="none"/>
              </w:rPr>
            </w:pPr>
          </w:p>
        </w:tc>
        <w:tc>
          <w:tcPr>
            <w:tcW w:w="1593"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调节池提升泵</w:t>
            </w:r>
          </w:p>
        </w:tc>
        <w:tc>
          <w:tcPr>
            <w:tcW w:w="4157"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技术参数：Q=7m3/h，H=9m，N=0.75kw，V=380，A=2.7，口径：Φ50；内置热保护器　</w:t>
            </w:r>
          </w:p>
        </w:tc>
        <w:tc>
          <w:tcPr>
            <w:tcW w:w="801"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2台</w:t>
            </w:r>
          </w:p>
        </w:tc>
        <w:tc>
          <w:tcPr>
            <w:tcW w:w="983"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c>
          <w:tcPr>
            <w:tcW w:w="1125"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548" w:type="dxa"/>
            <w:tcBorders>
              <w:top w:val="nil"/>
              <w:left w:val="single" w:color="auto" w:sz="4" w:space="0"/>
              <w:bottom w:val="single" w:color="auto" w:sz="8" w:space="0"/>
              <w:right w:val="single" w:color="auto" w:sz="8" w:space="0"/>
            </w:tcBorders>
            <w:vAlign w:val="center"/>
          </w:tcPr>
          <w:p>
            <w:pPr>
              <w:widowControl/>
              <w:jc w:val="center"/>
              <w:rPr>
                <w:color w:val="000000"/>
                <w:kern w:val="0"/>
                <w:sz w:val="24"/>
                <w:highlight w:val="none"/>
              </w:rPr>
            </w:pPr>
          </w:p>
        </w:tc>
        <w:tc>
          <w:tcPr>
            <w:tcW w:w="1593"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浮球液位控制器</w:t>
            </w:r>
          </w:p>
        </w:tc>
        <w:tc>
          <w:tcPr>
            <w:tcW w:w="4157" w:type="dxa"/>
            <w:tcBorders>
              <w:top w:val="single" w:color="auto" w:sz="8" w:space="0"/>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与提升泵配套；额定电流、阻性负载8A/250V-4A/380V,温度0℃＜水温≤65℃；适用范围：水池、弱酸和弱碱的水或油中</w:t>
            </w:r>
          </w:p>
        </w:tc>
        <w:tc>
          <w:tcPr>
            <w:tcW w:w="801"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2套</w:t>
            </w:r>
          </w:p>
        </w:tc>
        <w:tc>
          <w:tcPr>
            <w:tcW w:w="983"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c>
          <w:tcPr>
            <w:tcW w:w="1125"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548" w:type="dxa"/>
            <w:vMerge w:val="restart"/>
            <w:tcBorders>
              <w:top w:val="nil"/>
              <w:left w:val="single" w:color="auto" w:sz="4" w:space="0"/>
              <w:right w:val="single" w:color="auto" w:sz="8" w:space="0"/>
            </w:tcBorders>
            <w:vAlign w:val="center"/>
          </w:tcPr>
          <w:p>
            <w:pPr>
              <w:widowControl/>
              <w:jc w:val="center"/>
              <w:rPr>
                <w:color w:val="000000"/>
                <w:kern w:val="0"/>
                <w:sz w:val="24"/>
                <w:highlight w:val="none"/>
              </w:rPr>
            </w:pPr>
          </w:p>
        </w:tc>
        <w:tc>
          <w:tcPr>
            <w:tcW w:w="1593"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一体化污水处理设备主体</w:t>
            </w:r>
          </w:p>
        </w:tc>
        <w:tc>
          <w:tcPr>
            <w:tcW w:w="4157" w:type="dxa"/>
            <w:tcBorders>
              <w:top w:val="single" w:color="auto" w:sz="8" w:space="0"/>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处理能力80d/t,10*2*2.5，Q235,6mm碳钢防腐</w:t>
            </w:r>
          </w:p>
        </w:tc>
        <w:tc>
          <w:tcPr>
            <w:tcW w:w="801"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1</w:t>
            </w:r>
          </w:p>
        </w:tc>
        <w:tc>
          <w:tcPr>
            <w:tcW w:w="983"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c>
          <w:tcPr>
            <w:tcW w:w="1125"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48" w:type="dxa"/>
            <w:vMerge w:val="continue"/>
            <w:tcBorders>
              <w:left w:val="single" w:color="auto" w:sz="4" w:space="0"/>
              <w:right w:val="single" w:color="auto" w:sz="8" w:space="0"/>
            </w:tcBorders>
            <w:vAlign w:val="center"/>
          </w:tcPr>
          <w:p>
            <w:pPr>
              <w:widowControl/>
              <w:jc w:val="center"/>
              <w:rPr>
                <w:color w:val="000000"/>
                <w:kern w:val="0"/>
                <w:sz w:val="24"/>
                <w:highlight w:val="none"/>
              </w:rPr>
            </w:pPr>
          </w:p>
        </w:tc>
        <w:tc>
          <w:tcPr>
            <w:tcW w:w="1593"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生物组合填料</w:t>
            </w:r>
          </w:p>
        </w:tc>
        <w:tc>
          <w:tcPr>
            <w:tcW w:w="4157"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Ф150*80mm，L=2000mm 材质：聚丙烯、聚乙烯制成</w:t>
            </w:r>
          </w:p>
        </w:tc>
        <w:tc>
          <w:tcPr>
            <w:tcW w:w="801"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2套</w:t>
            </w:r>
          </w:p>
        </w:tc>
        <w:tc>
          <w:tcPr>
            <w:tcW w:w="983"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c>
          <w:tcPr>
            <w:tcW w:w="1125"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48" w:type="dxa"/>
            <w:vMerge w:val="continue"/>
            <w:tcBorders>
              <w:left w:val="single" w:color="auto" w:sz="4" w:space="0"/>
              <w:right w:val="single" w:color="auto" w:sz="8" w:space="0"/>
            </w:tcBorders>
            <w:vAlign w:val="center"/>
          </w:tcPr>
          <w:p>
            <w:pPr>
              <w:widowControl/>
              <w:jc w:val="center"/>
              <w:rPr>
                <w:color w:val="000000"/>
                <w:kern w:val="0"/>
                <w:sz w:val="24"/>
                <w:highlight w:val="none"/>
              </w:rPr>
            </w:pPr>
          </w:p>
        </w:tc>
        <w:tc>
          <w:tcPr>
            <w:tcW w:w="1593"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水解酸化池布水系统</w:t>
            </w:r>
          </w:p>
        </w:tc>
        <w:tc>
          <w:tcPr>
            <w:tcW w:w="4157"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 xml:space="preserve">非标制作，点状布水，1点/m2,使其均匀分布到整个水解酸化池   </w:t>
            </w:r>
          </w:p>
        </w:tc>
        <w:tc>
          <w:tcPr>
            <w:tcW w:w="801"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1套</w:t>
            </w:r>
          </w:p>
        </w:tc>
        <w:tc>
          <w:tcPr>
            <w:tcW w:w="983"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c>
          <w:tcPr>
            <w:tcW w:w="1125"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48" w:type="dxa"/>
            <w:vMerge w:val="continue"/>
            <w:tcBorders>
              <w:left w:val="single" w:color="auto" w:sz="4" w:space="0"/>
              <w:right w:val="single" w:color="auto" w:sz="8" w:space="0"/>
            </w:tcBorders>
            <w:vAlign w:val="center"/>
          </w:tcPr>
          <w:p>
            <w:pPr>
              <w:widowControl/>
              <w:jc w:val="center"/>
              <w:rPr>
                <w:color w:val="000000"/>
                <w:kern w:val="0"/>
                <w:sz w:val="24"/>
                <w:highlight w:val="none"/>
              </w:rPr>
            </w:pPr>
          </w:p>
        </w:tc>
        <w:tc>
          <w:tcPr>
            <w:tcW w:w="1593"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水解酸化池出水系统</w:t>
            </w:r>
          </w:p>
        </w:tc>
        <w:tc>
          <w:tcPr>
            <w:tcW w:w="4157"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非标制作,钢制出水堰，设置在出水一侧</w:t>
            </w:r>
          </w:p>
        </w:tc>
        <w:tc>
          <w:tcPr>
            <w:tcW w:w="801"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1套</w:t>
            </w:r>
          </w:p>
        </w:tc>
        <w:tc>
          <w:tcPr>
            <w:tcW w:w="983"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c>
          <w:tcPr>
            <w:tcW w:w="1125"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548" w:type="dxa"/>
            <w:vMerge w:val="continue"/>
            <w:tcBorders>
              <w:left w:val="single" w:color="auto" w:sz="4" w:space="0"/>
              <w:right w:val="single" w:color="auto" w:sz="8" w:space="0"/>
            </w:tcBorders>
            <w:vAlign w:val="center"/>
          </w:tcPr>
          <w:p>
            <w:pPr>
              <w:widowControl/>
              <w:jc w:val="center"/>
              <w:rPr>
                <w:color w:val="000000"/>
                <w:kern w:val="0"/>
                <w:sz w:val="24"/>
                <w:highlight w:val="none"/>
              </w:rPr>
            </w:pPr>
          </w:p>
        </w:tc>
        <w:tc>
          <w:tcPr>
            <w:tcW w:w="1593"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填料支架-Ⅰ</w:t>
            </w:r>
          </w:p>
        </w:tc>
        <w:tc>
          <w:tcPr>
            <w:tcW w:w="4157"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碳钢主体，环氧煤沥青漆防腐，材质：GB4*4角钢；GBΦ12螺纹钢；非标制作</w:t>
            </w:r>
          </w:p>
        </w:tc>
        <w:tc>
          <w:tcPr>
            <w:tcW w:w="801"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2套</w:t>
            </w:r>
          </w:p>
        </w:tc>
        <w:tc>
          <w:tcPr>
            <w:tcW w:w="983"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c>
          <w:tcPr>
            <w:tcW w:w="1125"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548" w:type="dxa"/>
            <w:vMerge w:val="continue"/>
            <w:tcBorders>
              <w:left w:val="single" w:color="auto" w:sz="4" w:space="0"/>
              <w:right w:val="single" w:color="auto" w:sz="8" w:space="0"/>
            </w:tcBorders>
            <w:vAlign w:val="center"/>
          </w:tcPr>
          <w:p>
            <w:pPr>
              <w:widowControl/>
              <w:jc w:val="center"/>
              <w:rPr>
                <w:color w:val="000000"/>
                <w:kern w:val="0"/>
                <w:sz w:val="24"/>
                <w:highlight w:val="none"/>
              </w:rPr>
            </w:pPr>
          </w:p>
        </w:tc>
        <w:tc>
          <w:tcPr>
            <w:tcW w:w="1593"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曝气器系统</w:t>
            </w:r>
          </w:p>
        </w:tc>
        <w:tc>
          <w:tcPr>
            <w:tcW w:w="4157"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膜片215曝气器       服务面积：0.25－0.55m2/个，0.35-0.75m2/个   曝气膜片运行平均孔隙：80-100微米，曝气管道水下部分ABS材质，水上部分镀锌钢管</w:t>
            </w:r>
          </w:p>
        </w:tc>
        <w:tc>
          <w:tcPr>
            <w:tcW w:w="801"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2套</w:t>
            </w:r>
          </w:p>
        </w:tc>
        <w:tc>
          <w:tcPr>
            <w:tcW w:w="983"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c>
          <w:tcPr>
            <w:tcW w:w="1125"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548" w:type="dxa"/>
            <w:vMerge w:val="continue"/>
            <w:tcBorders>
              <w:left w:val="single" w:color="auto" w:sz="4" w:space="0"/>
              <w:right w:val="single" w:color="auto" w:sz="8" w:space="0"/>
            </w:tcBorders>
            <w:vAlign w:val="center"/>
          </w:tcPr>
          <w:p>
            <w:pPr>
              <w:widowControl/>
              <w:jc w:val="center"/>
              <w:rPr>
                <w:color w:val="000000"/>
                <w:kern w:val="0"/>
                <w:sz w:val="24"/>
                <w:highlight w:val="none"/>
              </w:rPr>
            </w:pPr>
          </w:p>
        </w:tc>
        <w:tc>
          <w:tcPr>
            <w:tcW w:w="1593"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可调节支架</w:t>
            </w:r>
          </w:p>
        </w:tc>
        <w:tc>
          <w:tcPr>
            <w:tcW w:w="4157"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ABS材质，与曝气器配套，</w:t>
            </w:r>
          </w:p>
          <w:p>
            <w:pPr>
              <w:widowControl/>
              <w:jc w:val="center"/>
              <w:rPr>
                <w:color w:val="000000"/>
                <w:kern w:val="0"/>
                <w:sz w:val="24"/>
                <w:highlight w:val="none"/>
              </w:rPr>
            </w:pPr>
            <w:r>
              <w:rPr>
                <w:rFonts w:hint="eastAsia"/>
                <w:color w:val="000000"/>
                <w:kern w:val="0"/>
                <w:sz w:val="24"/>
                <w:highlight w:val="none"/>
              </w:rPr>
              <w:t>可调节高度：100～185mm；长度：125mm；盘底直径：105mm</w:t>
            </w:r>
          </w:p>
        </w:tc>
        <w:tc>
          <w:tcPr>
            <w:tcW w:w="801"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1套</w:t>
            </w:r>
          </w:p>
        </w:tc>
        <w:tc>
          <w:tcPr>
            <w:tcW w:w="983"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c>
          <w:tcPr>
            <w:tcW w:w="1125"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48" w:type="dxa"/>
            <w:vMerge w:val="continue"/>
            <w:tcBorders>
              <w:left w:val="single" w:color="auto" w:sz="4" w:space="0"/>
              <w:right w:val="single" w:color="auto" w:sz="8" w:space="0"/>
            </w:tcBorders>
            <w:vAlign w:val="center"/>
          </w:tcPr>
          <w:p>
            <w:pPr>
              <w:widowControl/>
              <w:jc w:val="center"/>
              <w:rPr>
                <w:color w:val="000000"/>
                <w:kern w:val="0"/>
                <w:sz w:val="24"/>
                <w:highlight w:val="none"/>
              </w:rPr>
            </w:pPr>
          </w:p>
        </w:tc>
        <w:tc>
          <w:tcPr>
            <w:tcW w:w="1593"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风机</w:t>
            </w:r>
          </w:p>
        </w:tc>
        <w:tc>
          <w:tcPr>
            <w:tcW w:w="4157"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Q=1.77m3/min，P=34.3Kpa,N=2.2kw，rpm=1360，口径Φ65</w:t>
            </w:r>
          </w:p>
        </w:tc>
        <w:tc>
          <w:tcPr>
            <w:tcW w:w="801"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2台</w:t>
            </w:r>
          </w:p>
        </w:tc>
        <w:tc>
          <w:tcPr>
            <w:tcW w:w="983"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c>
          <w:tcPr>
            <w:tcW w:w="1125"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8" w:hRule="atLeast"/>
        </w:trPr>
        <w:tc>
          <w:tcPr>
            <w:tcW w:w="548" w:type="dxa"/>
            <w:vMerge w:val="continue"/>
            <w:tcBorders>
              <w:left w:val="single" w:color="auto" w:sz="4" w:space="0"/>
              <w:right w:val="single" w:color="auto" w:sz="8" w:space="0"/>
            </w:tcBorders>
            <w:vAlign w:val="center"/>
          </w:tcPr>
          <w:p>
            <w:pPr>
              <w:widowControl/>
              <w:jc w:val="center"/>
              <w:rPr>
                <w:color w:val="000000"/>
                <w:kern w:val="0"/>
                <w:sz w:val="24"/>
                <w:highlight w:val="none"/>
              </w:rPr>
            </w:pPr>
          </w:p>
        </w:tc>
        <w:tc>
          <w:tcPr>
            <w:tcW w:w="1593"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填料支架-Ⅱ</w:t>
            </w:r>
          </w:p>
        </w:tc>
        <w:tc>
          <w:tcPr>
            <w:tcW w:w="4157" w:type="dxa"/>
            <w:tcBorders>
              <w:top w:val="single" w:color="auto" w:sz="8" w:space="0"/>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碳钢主体，环氧煤沥青漆防腐，材质：GB4*4角钢；GBΦ12螺纹钢；非标制作</w:t>
            </w:r>
          </w:p>
        </w:tc>
        <w:tc>
          <w:tcPr>
            <w:tcW w:w="801"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2套</w:t>
            </w:r>
          </w:p>
        </w:tc>
        <w:tc>
          <w:tcPr>
            <w:tcW w:w="983"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c>
          <w:tcPr>
            <w:tcW w:w="1125"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548" w:type="dxa"/>
            <w:vMerge w:val="continue"/>
            <w:tcBorders>
              <w:left w:val="single" w:color="auto" w:sz="4" w:space="0"/>
              <w:right w:val="single" w:color="auto" w:sz="8" w:space="0"/>
            </w:tcBorders>
            <w:vAlign w:val="center"/>
          </w:tcPr>
          <w:p>
            <w:pPr>
              <w:widowControl/>
              <w:jc w:val="center"/>
              <w:rPr>
                <w:color w:val="000000"/>
                <w:kern w:val="0"/>
                <w:sz w:val="24"/>
                <w:highlight w:val="none"/>
              </w:rPr>
            </w:pPr>
          </w:p>
        </w:tc>
        <w:tc>
          <w:tcPr>
            <w:tcW w:w="1593"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斜管蜂窝填料</w:t>
            </w:r>
          </w:p>
        </w:tc>
        <w:tc>
          <w:tcPr>
            <w:tcW w:w="4157"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L=1000mm，α=60º，Φ50mm</w:t>
            </w:r>
          </w:p>
        </w:tc>
        <w:tc>
          <w:tcPr>
            <w:tcW w:w="801"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一套</w:t>
            </w:r>
          </w:p>
        </w:tc>
        <w:tc>
          <w:tcPr>
            <w:tcW w:w="983"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c>
          <w:tcPr>
            <w:tcW w:w="1125"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548" w:type="dxa"/>
            <w:vMerge w:val="continue"/>
            <w:tcBorders>
              <w:left w:val="single" w:color="auto" w:sz="4" w:space="0"/>
              <w:right w:val="single" w:color="auto" w:sz="8" w:space="0"/>
            </w:tcBorders>
            <w:vAlign w:val="center"/>
          </w:tcPr>
          <w:p>
            <w:pPr>
              <w:widowControl/>
              <w:jc w:val="center"/>
              <w:rPr>
                <w:color w:val="000000"/>
                <w:kern w:val="0"/>
                <w:sz w:val="24"/>
                <w:highlight w:val="none"/>
              </w:rPr>
            </w:pPr>
          </w:p>
        </w:tc>
        <w:tc>
          <w:tcPr>
            <w:tcW w:w="1593" w:type="dxa"/>
            <w:tcBorders>
              <w:top w:val="single" w:color="auto" w:sz="4" w:space="0"/>
              <w:left w:val="nil"/>
              <w:bottom w:val="single" w:color="auto" w:sz="4"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沉淀池出水系统</w:t>
            </w:r>
          </w:p>
        </w:tc>
        <w:tc>
          <w:tcPr>
            <w:tcW w:w="4157" w:type="dxa"/>
            <w:tcBorders>
              <w:top w:val="single" w:color="auto" w:sz="4" w:space="0"/>
              <w:left w:val="nil"/>
              <w:bottom w:val="single" w:color="auto" w:sz="4"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非标制作,钢制出水堰，设置在出水一侧</w:t>
            </w:r>
          </w:p>
        </w:tc>
        <w:tc>
          <w:tcPr>
            <w:tcW w:w="801"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highlight w:val="none"/>
              </w:rPr>
            </w:pPr>
            <w:r>
              <w:rPr>
                <w:rFonts w:hint="eastAsia"/>
                <w:color w:val="000000"/>
                <w:kern w:val="0"/>
                <w:sz w:val="24"/>
                <w:highlight w:val="none"/>
              </w:rPr>
              <w:t>1套</w:t>
            </w:r>
          </w:p>
        </w:tc>
        <w:tc>
          <w:tcPr>
            <w:tcW w:w="983" w:type="dxa"/>
            <w:tcBorders>
              <w:top w:val="single" w:color="auto" w:sz="4" w:space="0"/>
              <w:left w:val="nil"/>
              <w:bottom w:val="single" w:color="auto" w:sz="4" w:space="0"/>
              <w:right w:val="single" w:color="auto" w:sz="4" w:space="0"/>
            </w:tcBorders>
            <w:vAlign w:val="top"/>
          </w:tcPr>
          <w:p>
            <w:pPr>
              <w:widowControl/>
              <w:jc w:val="center"/>
              <w:rPr>
                <w:color w:val="000000"/>
                <w:kern w:val="0"/>
                <w:sz w:val="24"/>
                <w:highlight w:val="none"/>
              </w:rPr>
            </w:pPr>
          </w:p>
        </w:tc>
        <w:tc>
          <w:tcPr>
            <w:tcW w:w="1125" w:type="dxa"/>
            <w:tcBorders>
              <w:top w:val="single" w:color="auto" w:sz="4" w:space="0"/>
              <w:left w:val="nil"/>
              <w:bottom w:val="single" w:color="auto" w:sz="4" w:space="0"/>
              <w:right w:val="single" w:color="auto" w:sz="4" w:space="0"/>
            </w:tcBorders>
            <w:vAlign w:val="top"/>
          </w:tcPr>
          <w:p>
            <w:pPr>
              <w:widowControl/>
              <w:jc w:val="center"/>
              <w:rPr>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trPr>
        <w:tc>
          <w:tcPr>
            <w:tcW w:w="548" w:type="dxa"/>
            <w:vMerge w:val="continue"/>
            <w:tcBorders>
              <w:left w:val="single" w:color="auto" w:sz="4" w:space="0"/>
              <w:bottom w:val="single" w:color="auto" w:sz="8" w:space="0"/>
              <w:right w:val="single" w:color="auto" w:sz="8" w:space="0"/>
            </w:tcBorders>
            <w:vAlign w:val="center"/>
          </w:tcPr>
          <w:p>
            <w:pPr>
              <w:widowControl/>
              <w:jc w:val="center"/>
              <w:rPr>
                <w:color w:val="000000"/>
                <w:kern w:val="0"/>
                <w:sz w:val="24"/>
                <w:highlight w:val="none"/>
              </w:rPr>
            </w:pPr>
          </w:p>
        </w:tc>
        <w:tc>
          <w:tcPr>
            <w:tcW w:w="1593" w:type="dxa"/>
            <w:tcBorders>
              <w:top w:val="single" w:color="auto" w:sz="4" w:space="0"/>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污泥回流泵</w:t>
            </w:r>
          </w:p>
        </w:tc>
        <w:tc>
          <w:tcPr>
            <w:tcW w:w="4157" w:type="dxa"/>
            <w:tcBorders>
              <w:top w:val="single" w:color="auto" w:sz="4" w:space="0"/>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技术参数：Q=10m3/h，H=10m，N=1.5kw，V=380，A=2.7，口径：Φ50；内置热保护器</w:t>
            </w:r>
          </w:p>
        </w:tc>
        <w:tc>
          <w:tcPr>
            <w:tcW w:w="801" w:type="dxa"/>
            <w:tcBorders>
              <w:top w:val="single" w:color="auto" w:sz="4" w:space="0"/>
              <w:left w:val="single" w:color="auto" w:sz="8" w:space="0"/>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1台</w:t>
            </w:r>
          </w:p>
        </w:tc>
        <w:tc>
          <w:tcPr>
            <w:tcW w:w="983" w:type="dxa"/>
            <w:tcBorders>
              <w:top w:val="single" w:color="auto" w:sz="4" w:space="0"/>
              <w:left w:val="single" w:color="auto" w:sz="8" w:space="0"/>
              <w:bottom w:val="single" w:color="auto" w:sz="8" w:space="0"/>
              <w:right w:val="single" w:color="auto" w:sz="8" w:space="0"/>
            </w:tcBorders>
            <w:vAlign w:val="top"/>
          </w:tcPr>
          <w:p>
            <w:pPr>
              <w:widowControl/>
              <w:jc w:val="center"/>
              <w:rPr>
                <w:color w:val="000000"/>
                <w:kern w:val="0"/>
                <w:sz w:val="24"/>
                <w:highlight w:val="none"/>
              </w:rPr>
            </w:pPr>
          </w:p>
        </w:tc>
        <w:tc>
          <w:tcPr>
            <w:tcW w:w="1125" w:type="dxa"/>
            <w:tcBorders>
              <w:top w:val="single" w:color="auto" w:sz="4" w:space="0"/>
              <w:left w:val="single" w:color="auto" w:sz="8" w:space="0"/>
              <w:bottom w:val="single" w:color="auto" w:sz="8" w:space="0"/>
              <w:right w:val="single" w:color="auto" w:sz="8" w:space="0"/>
            </w:tcBorders>
            <w:vAlign w:val="top"/>
          </w:tcPr>
          <w:p>
            <w:pPr>
              <w:widowControl/>
              <w:jc w:val="center"/>
              <w:rPr>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548" w:type="dxa"/>
            <w:tcBorders>
              <w:top w:val="nil"/>
              <w:left w:val="single" w:color="auto" w:sz="4" w:space="0"/>
              <w:bottom w:val="single" w:color="auto" w:sz="8" w:space="0"/>
              <w:right w:val="single" w:color="auto" w:sz="8" w:space="0"/>
            </w:tcBorders>
            <w:vAlign w:val="center"/>
          </w:tcPr>
          <w:p>
            <w:pPr>
              <w:widowControl/>
              <w:jc w:val="center"/>
              <w:rPr>
                <w:color w:val="000000"/>
                <w:kern w:val="0"/>
                <w:sz w:val="24"/>
                <w:highlight w:val="none"/>
              </w:rPr>
            </w:pPr>
          </w:p>
        </w:tc>
        <w:tc>
          <w:tcPr>
            <w:tcW w:w="1593"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消毒方式及设备</w:t>
            </w:r>
          </w:p>
        </w:tc>
        <w:tc>
          <w:tcPr>
            <w:tcW w:w="4157" w:type="dxa"/>
            <w:tcBorders>
              <w:top w:val="single" w:color="auto" w:sz="8" w:space="0"/>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 xml:space="preserve">单过硫酸氢钾复合粉加药设备 </w:t>
            </w:r>
          </w:p>
        </w:tc>
        <w:tc>
          <w:tcPr>
            <w:tcW w:w="801"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1套</w:t>
            </w:r>
          </w:p>
        </w:tc>
        <w:tc>
          <w:tcPr>
            <w:tcW w:w="983"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c>
          <w:tcPr>
            <w:tcW w:w="1125"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548" w:type="dxa"/>
            <w:tcBorders>
              <w:top w:val="nil"/>
              <w:left w:val="single" w:color="auto" w:sz="4" w:space="0"/>
              <w:bottom w:val="single" w:color="auto" w:sz="8" w:space="0"/>
              <w:right w:val="single" w:color="auto" w:sz="8" w:space="0"/>
            </w:tcBorders>
            <w:vAlign w:val="center"/>
          </w:tcPr>
          <w:p>
            <w:pPr>
              <w:widowControl/>
              <w:jc w:val="center"/>
              <w:rPr>
                <w:color w:val="000000"/>
                <w:kern w:val="0"/>
                <w:sz w:val="24"/>
                <w:highlight w:val="none"/>
              </w:rPr>
            </w:pPr>
          </w:p>
        </w:tc>
        <w:tc>
          <w:tcPr>
            <w:tcW w:w="1593"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管道阀门及配件</w:t>
            </w:r>
          </w:p>
        </w:tc>
        <w:tc>
          <w:tcPr>
            <w:tcW w:w="4157" w:type="dxa"/>
            <w:tcBorders>
              <w:top w:val="single" w:color="auto" w:sz="8" w:space="0"/>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根据调节池提升泵、风机、污泥回流泵、口径来配备；国标</w:t>
            </w:r>
          </w:p>
        </w:tc>
        <w:tc>
          <w:tcPr>
            <w:tcW w:w="801"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1批</w:t>
            </w:r>
          </w:p>
        </w:tc>
        <w:tc>
          <w:tcPr>
            <w:tcW w:w="983"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c>
          <w:tcPr>
            <w:tcW w:w="1125"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548" w:type="dxa"/>
            <w:tcBorders>
              <w:top w:val="nil"/>
              <w:left w:val="single" w:color="auto" w:sz="4" w:space="0"/>
              <w:bottom w:val="single" w:color="auto" w:sz="8" w:space="0"/>
              <w:right w:val="single" w:color="auto" w:sz="8" w:space="0"/>
            </w:tcBorders>
            <w:vAlign w:val="center"/>
          </w:tcPr>
          <w:p>
            <w:pPr>
              <w:widowControl/>
              <w:jc w:val="center"/>
              <w:rPr>
                <w:color w:val="000000"/>
                <w:kern w:val="0"/>
                <w:sz w:val="24"/>
                <w:highlight w:val="none"/>
              </w:rPr>
            </w:pPr>
          </w:p>
        </w:tc>
        <w:tc>
          <w:tcPr>
            <w:tcW w:w="1593"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电气控制系统</w:t>
            </w:r>
          </w:p>
        </w:tc>
        <w:tc>
          <w:tcPr>
            <w:tcW w:w="4157" w:type="dxa"/>
            <w:tcBorders>
              <w:top w:val="single" w:color="auto" w:sz="8" w:space="0"/>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　非标制作</w:t>
            </w:r>
          </w:p>
        </w:tc>
        <w:tc>
          <w:tcPr>
            <w:tcW w:w="801"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1套</w:t>
            </w:r>
          </w:p>
        </w:tc>
        <w:tc>
          <w:tcPr>
            <w:tcW w:w="983"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c>
          <w:tcPr>
            <w:tcW w:w="1125"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548" w:type="dxa"/>
            <w:tcBorders>
              <w:top w:val="nil"/>
              <w:left w:val="single" w:color="auto" w:sz="4" w:space="0"/>
              <w:bottom w:val="single" w:color="auto" w:sz="8" w:space="0"/>
              <w:right w:val="single" w:color="auto" w:sz="8" w:space="0"/>
            </w:tcBorders>
            <w:vAlign w:val="center"/>
          </w:tcPr>
          <w:p>
            <w:pPr>
              <w:widowControl/>
              <w:jc w:val="center"/>
              <w:rPr>
                <w:color w:val="000000"/>
                <w:kern w:val="0"/>
                <w:sz w:val="24"/>
                <w:highlight w:val="none"/>
              </w:rPr>
            </w:pPr>
          </w:p>
        </w:tc>
        <w:tc>
          <w:tcPr>
            <w:tcW w:w="1593"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安装调试费</w:t>
            </w:r>
          </w:p>
        </w:tc>
        <w:tc>
          <w:tcPr>
            <w:tcW w:w="4157" w:type="dxa"/>
            <w:tcBorders>
              <w:top w:val="single" w:color="auto" w:sz="8" w:space="0"/>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设备安装，活性污泥驯化</w:t>
            </w:r>
          </w:p>
        </w:tc>
        <w:tc>
          <w:tcPr>
            <w:tcW w:w="801"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1</w:t>
            </w:r>
          </w:p>
        </w:tc>
        <w:tc>
          <w:tcPr>
            <w:tcW w:w="983"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c>
          <w:tcPr>
            <w:tcW w:w="1125"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548" w:type="dxa"/>
            <w:tcBorders>
              <w:top w:val="nil"/>
              <w:left w:val="single" w:color="auto" w:sz="4" w:space="0"/>
              <w:bottom w:val="single" w:color="auto" w:sz="8" w:space="0"/>
              <w:right w:val="single" w:color="auto" w:sz="8" w:space="0"/>
            </w:tcBorders>
            <w:vAlign w:val="center"/>
          </w:tcPr>
          <w:p>
            <w:pPr>
              <w:widowControl/>
              <w:jc w:val="center"/>
              <w:rPr>
                <w:color w:val="000000"/>
                <w:kern w:val="0"/>
                <w:sz w:val="24"/>
                <w:highlight w:val="none"/>
              </w:rPr>
            </w:pPr>
          </w:p>
        </w:tc>
        <w:tc>
          <w:tcPr>
            <w:tcW w:w="1593"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运输，吊装</w:t>
            </w:r>
          </w:p>
        </w:tc>
        <w:tc>
          <w:tcPr>
            <w:tcW w:w="4157" w:type="dxa"/>
            <w:tcBorders>
              <w:top w:val="single" w:color="auto" w:sz="8" w:space="0"/>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货物运输，设备吊装</w:t>
            </w:r>
          </w:p>
        </w:tc>
        <w:tc>
          <w:tcPr>
            <w:tcW w:w="801"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1</w:t>
            </w:r>
          </w:p>
        </w:tc>
        <w:tc>
          <w:tcPr>
            <w:tcW w:w="983"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c>
          <w:tcPr>
            <w:tcW w:w="1125"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 w:hRule="atLeast"/>
        </w:trPr>
        <w:tc>
          <w:tcPr>
            <w:tcW w:w="548" w:type="dxa"/>
            <w:tcBorders>
              <w:top w:val="nil"/>
              <w:left w:val="single" w:color="auto" w:sz="4" w:space="0"/>
              <w:bottom w:val="single" w:color="auto" w:sz="8" w:space="0"/>
              <w:right w:val="single" w:color="auto" w:sz="8" w:space="0"/>
            </w:tcBorders>
            <w:vAlign w:val="center"/>
          </w:tcPr>
          <w:p>
            <w:pPr>
              <w:widowControl/>
              <w:jc w:val="center"/>
              <w:rPr>
                <w:color w:val="000000"/>
                <w:kern w:val="0"/>
                <w:sz w:val="24"/>
                <w:highlight w:val="none"/>
              </w:rPr>
            </w:pPr>
          </w:p>
        </w:tc>
        <w:tc>
          <w:tcPr>
            <w:tcW w:w="1593"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电缆</w:t>
            </w:r>
          </w:p>
        </w:tc>
        <w:tc>
          <w:tcPr>
            <w:tcW w:w="4157"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　根据以上电动设备来选电缆线型号；国标</w:t>
            </w:r>
          </w:p>
        </w:tc>
        <w:tc>
          <w:tcPr>
            <w:tcW w:w="801"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1套</w:t>
            </w:r>
          </w:p>
        </w:tc>
        <w:tc>
          <w:tcPr>
            <w:tcW w:w="983"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c>
          <w:tcPr>
            <w:tcW w:w="1125"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548" w:type="dxa"/>
            <w:tcBorders>
              <w:top w:val="nil"/>
              <w:left w:val="single" w:color="auto" w:sz="4" w:space="0"/>
              <w:bottom w:val="single" w:color="auto" w:sz="8" w:space="0"/>
              <w:right w:val="single" w:color="auto" w:sz="8" w:space="0"/>
            </w:tcBorders>
            <w:vAlign w:val="center"/>
          </w:tcPr>
          <w:p>
            <w:pPr>
              <w:widowControl/>
              <w:jc w:val="center"/>
              <w:rPr>
                <w:color w:val="000000"/>
                <w:kern w:val="0"/>
                <w:sz w:val="24"/>
                <w:highlight w:val="none"/>
              </w:rPr>
            </w:pPr>
          </w:p>
        </w:tc>
        <w:tc>
          <w:tcPr>
            <w:tcW w:w="1593"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r>
              <w:rPr>
                <w:rFonts w:hint="eastAsia"/>
                <w:color w:val="000000"/>
                <w:kern w:val="0"/>
                <w:sz w:val="24"/>
                <w:highlight w:val="none"/>
              </w:rPr>
              <w:t>合计</w:t>
            </w:r>
          </w:p>
        </w:tc>
        <w:tc>
          <w:tcPr>
            <w:tcW w:w="4157"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p>
        </w:tc>
        <w:tc>
          <w:tcPr>
            <w:tcW w:w="801" w:type="dxa"/>
            <w:tcBorders>
              <w:top w:val="nil"/>
              <w:left w:val="nil"/>
              <w:bottom w:val="single" w:color="auto" w:sz="8" w:space="0"/>
              <w:right w:val="single" w:color="auto" w:sz="8" w:space="0"/>
            </w:tcBorders>
            <w:vAlign w:val="center"/>
          </w:tcPr>
          <w:p>
            <w:pPr>
              <w:widowControl/>
              <w:jc w:val="center"/>
              <w:rPr>
                <w:color w:val="000000"/>
                <w:kern w:val="0"/>
                <w:sz w:val="24"/>
                <w:highlight w:val="none"/>
              </w:rPr>
            </w:pPr>
          </w:p>
        </w:tc>
        <w:tc>
          <w:tcPr>
            <w:tcW w:w="983"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c>
          <w:tcPr>
            <w:tcW w:w="1125" w:type="dxa"/>
            <w:tcBorders>
              <w:top w:val="nil"/>
              <w:left w:val="nil"/>
              <w:bottom w:val="single" w:color="auto" w:sz="8" w:space="0"/>
              <w:right w:val="single" w:color="auto" w:sz="8" w:space="0"/>
            </w:tcBorders>
            <w:vAlign w:val="top"/>
          </w:tcPr>
          <w:p>
            <w:pPr>
              <w:widowControl/>
              <w:jc w:val="center"/>
              <w:rPr>
                <w:color w:val="000000"/>
                <w:kern w:val="0"/>
                <w:sz w:val="24"/>
                <w:highlight w:val="none"/>
              </w:rPr>
            </w:pPr>
          </w:p>
        </w:tc>
      </w:tr>
    </w:tbl>
    <w:p>
      <w:pPr>
        <w:widowControl w:val="0"/>
        <w:numPr>
          <w:numId w:val="0"/>
        </w:numPr>
        <w:wordWrap/>
        <w:adjustRightInd/>
        <w:snapToGrid w:val="0"/>
        <w:spacing w:line="240" w:lineRule="auto"/>
        <w:ind w:leftChars="0" w:right="0"/>
        <w:jc w:val="both"/>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b/>
          <w:bCs/>
          <w:sz w:val="32"/>
          <w:szCs w:val="32"/>
          <w:highlight w:val="none"/>
          <w:lang w:val="en-US" w:eastAsia="zh-CN"/>
        </w:rPr>
        <w:t xml:space="preserve">                </w:t>
      </w:r>
      <w:bookmarkEnd w:id="0"/>
    </w:p>
    <w:p>
      <w:pPr>
        <w:widowControl w:val="0"/>
        <w:numPr>
          <w:ilvl w:val="0"/>
          <w:numId w:val="23"/>
        </w:numPr>
        <w:wordWrap/>
        <w:adjustRightInd/>
        <w:snapToGrid w:val="0"/>
        <w:spacing w:line="240" w:lineRule="auto"/>
        <w:ind w:left="0" w:leftChars="0" w:right="0" w:firstLine="0" w:firstLineChars="0"/>
        <w:jc w:val="both"/>
        <w:textAlignment w:val="auto"/>
        <w:outlineLvl w:val="9"/>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32"/>
          <w:szCs w:val="32"/>
          <w:highlight w:val="none"/>
          <w:lang w:val="en-US" w:eastAsia="zh-CN"/>
        </w:rPr>
        <w:br w:type="page"/>
      </w:r>
    </w:p>
    <w:p>
      <w:pPr>
        <w:numPr>
          <w:numId w:val="0"/>
        </w:numPr>
        <w:jc w:val="both"/>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 xml:space="preserve">                第四章  采购合同参考样本</w:t>
      </w:r>
    </w:p>
    <w:p>
      <w:pPr>
        <w:numPr>
          <w:numId w:val="0"/>
        </w:numPr>
        <w:jc w:val="both"/>
        <w:rPr>
          <w:rFonts w:hint="eastAsia" w:ascii="宋体" w:hAnsi="宋体" w:eastAsia="宋体" w:cs="宋体"/>
          <w:b w:val="0"/>
          <w:bCs w:val="0"/>
          <w:sz w:val="52"/>
          <w:szCs w:val="52"/>
          <w:highlight w:val="none"/>
          <w:lang w:val="en-US" w:eastAsia="zh-CN"/>
        </w:rPr>
      </w:pPr>
    </w:p>
    <w:p>
      <w:pPr>
        <w:numPr>
          <w:numId w:val="0"/>
        </w:numPr>
        <w:jc w:val="both"/>
        <w:rPr>
          <w:rFonts w:hint="eastAsia" w:ascii="宋体" w:hAnsi="宋体" w:eastAsia="宋体" w:cs="宋体"/>
          <w:b w:val="0"/>
          <w:bCs w:val="0"/>
          <w:sz w:val="52"/>
          <w:szCs w:val="52"/>
          <w:highlight w:val="none"/>
          <w:lang w:val="en-US" w:eastAsia="zh-CN"/>
        </w:rPr>
      </w:pPr>
    </w:p>
    <w:p>
      <w:pPr>
        <w:numPr>
          <w:numId w:val="0"/>
        </w:numPr>
        <w:jc w:val="center"/>
        <w:rPr>
          <w:rFonts w:hint="eastAsia" w:ascii="宋体" w:hAnsi="宋体" w:eastAsia="宋体" w:cs="宋体"/>
          <w:b w:val="0"/>
          <w:bCs w:val="0"/>
          <w:sz w:val="52"/>
          <w:szCs w:val="52"/>
          <w:highlight w:val="none"/>
          <w:lang w:val="en-US" w:eastAsia="zh-CN"/>
        </w:rPr>
      </w:pPr>
      <w:r>
        <w:rPr>
          <w:rFonts w:hint="eastAsia" w:ascii="宋体" w:hAnsi="宋体" w:eastAsia="宋体" w:cs="宋体"/>
          <w:b w:val="0"/>
          <w:bCs w:val="0"/>
          <w:sz w:val="52"/>
          <w:szCs w:val="52"/>
          <w:highlight w:val="none"/>
          <w:lang w:val="en-US" w:eastAsia="zh-CN"/>
        </w:rPr>
        <w:t>采 购 合 同</w:t>
      </w:r>
    </w:p>
    <w:p>
      <w:pPr>
        <w:numPr>
          <w:numId w:val="0"/>
        </w:numPr>
        <w:jc w:val="both"/>
        <w:rPr>
          <w:rFonts w:hint="eastAsia" w:ascii="宋体" w:hAnsi="宋体" w:eastAsia="宋体" w:cs="宋体"/>
          <w:b/>
          <w:bCs/>
          <w:sz w:val="32"/>
          <w:szCs w:val="32"/>
          <w:highlight w:val="none"/>
          <w:lang w:val="en-US" w:eastAsia="zh-CN"/>
        </w:rPr>
      </w:pPr>
    </w:p>
    <w:p>
      <w:pPr>
        <w:numPr>
          <w:numId w:val="0"/>
        </w:numPr>
        <w:jc w:val="both"/>
        <w:rPr>
          <w:rFonts w:hint="eastAsia" w:ascii="宋体" w:hAnsi="宋体" w:eastAsia="宋体" w:cs="宋体"/>
          <w:b/>
          <w:bCs/>
          <w:sz w:val="32"/>
          <w:szCs w:val="32"/>
          <w:highlight w:val="none"/>
          <w:lang w:val="en-US" w:eastAsia="zh-CN"/>
        </w:rPr>
      </w:pPr>
    </w:p>
    <w:p>
      <w:pPr>
        <w:numPr>
          <w:numId w:val="0"/>
        </w:numPr>
        <w:jc w:val="both"/>
        <w:rPr>
          <w:rFonts w:hint="eastAsia" w:ascii="宋体" w:hAnsi="宋体" w:eastAsia="宋体" w:cs="宋体"/>
          <w:b/>
          <w:bCs/>
          <w:sz w:val="32"/>
          <w:szCs w:val="32"/>
          <w:highlight w:val="none"/>
          <w:lang w:val="en-US" w:eastAsia="zh-CN"/>
        </w:rPr>
      </w:pPr>
    </w:p>
    <w:p>
      <w:pPr>
        <w:numPr>
          <w:numId w:val="0"/>
        </w:numPr>
        <w:jc w:val="both"/>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 xml:space="preserve">      项目名称：</w:t>
      </w:r>
    </w:p>
    <w:p>
      <w:pPr>
        <w:numPr>
          <w:numId w:val="0"/>
        </w:numPr>
        <w:jc w:val="both"/>
        <w:rPr>
          <w:rFonts w:hint="eastAsia" w:ascii="宋体" w:hAnsi="宋体" w:eastAsia="宋体" w:cs="宋体"/>
          <w:b/>
          <w:bCs/>
          <w:sz w:val="32"/>
          <w:szCs w:val="32"/>
          <w:highlight w:val="none"/>
          <w:lang w:val="en-US" w:eastAsia="zh-CN"/>
        </w:rPr>
      </w:pPr>
    </w:p>
    <w:p>
      <w:pPr>
        <w:numPr>
          <w:numId w:val="0"/>
        </w:numPr>
        <w:jc w:val="both"/>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 xml:space="preserve">      项目编号：</w:t>
      </w:r>
    </w:p>
    <w:p>
      <w:pPr>
        <w:numPr>
          <w:numId w:val="0"/>
        </w:numPr>
        <w:jc w:val="both"/>
        <w:rPr>
          <w:rFonts w:hint="eastAsia" w:ascii="宋体" w:hAnsi="宋体" w:eastAsia="宋体" w:cs="宋体"/>
          <w:b/>
          <w:bCs/>
          <w:sz w:val="32"/>
          <w:szCs w:val="32"/>
          <w:highlight w:val="none"/>
          <w:lang w:val="en-US" w:eastAsia="zh-CN"/>
        </w:rPr>
      </w:pPr>
    </w:p>
    <w:p>
      <w:pPr>
        <w:numPr>
          <w:numId w:val="0"/>
        </w:numPr>
        <w:jc w:val="both"/>
        <w:rPr>
          <w:rFonts w:hint="eastAsia" w:ascii="宋体" w:hAnsi="宋体" w:eastAsia="宋体" w:cs="宋体"/>
          <w:b/>
          <w:bCs/>
          <w:sz w:val="32"/>
          <w:szCs w:val="32"/>
          <w:highlight w:val="none"/>
          <w:lang w:val="en-US" w:eastAsia="zh-CN"/>
        </w:rPr>
      </w:pPr>
    </w:p>
    <w:p>
      <w:pPr>
        <w:numPr>
          <w:numId w:val="0"/>
        </w:numPr>
        <w:jc w:val="both"/>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 xml:space="preserve">      甲方：</w:t>
      </w:r>
    </w:p>
    <w:p>
      <w:pPr>
        <w:numPr>
          <w:numId w:val="0"/>
        </w:numPr>
        <w:jc w:val="both"/>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 xml:space="preserve">      乙方：</w:t>
      </w:r>
    </w:p>
    <w:p>
      <w:pPr>
        <w:numPr>
          <w:numId w:val="0"/>
        </w:numPr>
        <w:jc w:val="both"/>
        <w:rPr>
          <w:rFonts w:hint="eastAsia" w:ascii="宋体" w:hAnsi="宋体" w:eastAsia="宋体" w:cs="宋体"/>
          <w:b/>
          <w:bCs/>
          <w:sz w:val="32"/>
          <w:szCs w:val="32"/>
          <w:highlight w:val="none"/>
          <w:lang w:val="en-US" w:eastAsia="zh-CN"/>
        </w:rPr>
      </w:pPr>
    </w:p>
    <w:p>
      <w:pPr>
        <w:spacing w:line="440" w:lineRule="exact"/>
        <w:rPr>
          <w:rFonts w:hint="eastAsia" w:ascii="宋体" w:hAnsi="宋体" w:eastAsia="宋体" w:cs="宋体"/>
          <w:b w:val="0"/>
          <w:bCs w:val="0"/>
          <w:kern w:val="2"/>
          <w:sz w:val="24"/>
          <w:szCs w:val="24"/>
          <w:highlight w:val="none"/>
          <w:lang w:val="en-US" w:eastAsia="zh-CN" w:bidi="ar-SA"/>
        </w:rPr>
      </w:pPr>
    </w:p>
    <w:p>
      <w:pPr>
        <w:tabs>
          <w:tab w:val="left" w:pos="4816"/>
        </w:tabs>
        <w:spacing w:line="460" w:lineRule="exact"/>
        <w:rPr>
          <w:rFonts w:hint="eastAsia" w:cs="宋体"/>
          <w:kern w:val="2"/>
          <w:sz w:val="24"/>
          <w:szCs w:val="24"/>
          <w:highlight w:val="none"/>
          <w:lang w:val="en-US" w:eastAsia="zh-CN" w:bidi="ar-SA"/>
        </w:rPr>
      </w:pPr>
      <w:r>
        <w:rPr>
          <w:rFonts w:hint="eastAsia" w:cs="宋体"/>
          <w:kern w:val="2"/>
          <w:sz w:val="24"/>
          <w:szCs w:val="24"/>
          <w:highlight w:val="none"/>
          <w:lang w:val="en-US" w:eastAsia="zh-CN" w:bidi="ar-SA"/>
        </w:rPr>
        <w:tab/>
      </w:r>
      <w:r>
        <w:rPr>
          <w:rFonts w:hint="eastAsia" w:cs="宋体"/>
          <w:kern w:val="2"/>
          <w:sz w:val="24"/>
          <w:szCs w:val="24"/>
          <w:highlight w:val="none"/>
          <w:lang w:val="en-US" w:eastAsia="zh-CN" w:bidi="ar-SA"/>
        </w:rPr>
        <w:t xml:space="preserve"> </w:t>
      </w:r>
    </w:p>
    <w:p>
      <w:pPr>
        <w:tabs>
          <w:tab w:val="left" w:pos="4816"/>
        </w:tabs>
        <w:spacing w:line="460" w:lineRule="exact"/>
        <w:rPr>
          <w:rFonts w:hint="eastAsia" w:cs="宋体"/>
          <w:kern w:val="2"/>
          <w:sz w:val="24"/>
          <w:szCs w:val="24"/>
          <w:highlight w:val="none"/>
          <w:lang w:val="en-US" w:eastAsia="zh-CN" w:bidi="ar-SA"/>
        </w:rPr>
      </w:pPr>
    </w:p>
    <w:p>
      <w:pPr>
        <w:pStyle w:val="9"/>
        <w:widowControl w:val="0"/>
        <w:spacing w:before="0" w:beforeAutospacing="0" w:after="0" w:afterAutospacing="0" w:line="440" w:lineRule="exact"/>
        <w:jc w:val="both"/>
        <w:rPr>
          <w:rFonts w:hint="eastAsia" w:eastAsia="宋体" w:cs="宋体"/>
          <w:kern w:val="2"/>
          <w:sz w:val="24"/>
          <w:szCs w:val="24"/>
          <w:highlight w:val="none"/>
          <w:lang w:val="en-US" w:eastAsia="zh-CN" w:bidi="ar-SA"/>
        </w:rPr>
      </w:pPr>
    </w:p>
    <w:p>
      <w:pPr>
        <w:pStyle w:val="9"/>
        <w:widowControl w:val="0"/>
        <w:spacing w:before="0" w:beforeAutospacing="0" w:after="0" w:afterAutospacing="0" w:line="440" w:lineRule="exact"/>
        <w:jc w:val="both"/>
        <w:rPr>
          <w:rFonts w:hint="eastAsia" w:cs="宋体"/>
          <w:kern w:val="2"/>
          <w:sz w:val="24"/>
          <w:szCs w:val="24"/>
          <w:highlight w:val="none"/>
          <w:u w:val="none"/>
          <w:lang w:val="en-US" w:eastAsia="zh-CN" w:bidi="ar-SA"/>
        </w:rPr>
      </w:pPr>
      <w:r>
        <w:rPr>
          <w:rFonts w:hint="eastAsia" w:cs="宋体"/>
          <w:kern w:val="2"/>
          <w:sz w:val="24"/>
          <w:szCs w:val="24"/>
          <w:highlight w:val="none"/>
          <w:u w:val="none"/>
          <w:lang w:val="en-US" w:eastAsia="zh-CN" w:bidi="ar-SA"/>
        </w:rPr>
        <w:t xml:space="preserve"> </w:t>
      </w:r>
    </w:p>
    <w:p>
      <w:pPr>
        <w:pStyle w:val="9"/>
        <w:widowControl w:val="0"/>
        <w:spacing w:before="0" w:beforeAutospacing="0" w:after="0" w:afterAutospacing="0" w:line="440" w:lineRule="exact"/>
        <w:jc w:val="both"/>
        <w:rPr>
          <w:rFonts w:hint="eastAsia" w:cs="宋体"/>
          <w:kern w:val="2"/>
          <w:sz w:val="24"/>
          <w:szCs w:val="24"/>
          <w:highlight w:val="none"/>
          <w:u w:val="none"/>
          <w:lang w:val="en-US" w:eastAsia="zh-CN" w:bidi="ar-SA"/>
        </w:rPr>
      </w:pPr>
      <w:r>
        <w:rPr>
          <w:rFonts w:hint="eastAsia" w:cs="宋体"/>
          <w:kern w:val="2"/>
          <w:sz w:val="24"/>
          <w:szCs w:val="24"/>
          <w:highlight w:val="none"/>
          <w:u w:val="none"/>
          <w:lang w:val="en-US" w:eastAsia="zh-CN" w:bidi="ar-SA"/>
        </w:rPr>
        <w:br w:type="page"/>
      </w:r>
    </w:p>
    <w:p>
      <w:pPr>
        <w:pStyle w:val="9"/>
        <w:widowControl w:val="0"/>
        <w:spacing w:before="0" w:beforeAutospacing="0" w:after="0" w:afterAutospacing="0" w:line="440" w:lineRule="exact"/>
        <w:jc w:val="both"/>
        <w:rPr>
          <w:rFonts w:hint="eastAsia" w:cs="宋体"/>
          <w:kern w:val="2"/>
          <w:sz w:val="24"/>
          <w:szCs w:val="24"/>
          <w:highlight w:val="none"/>
          <w:lang w:val="en-US" w:eastAsia="zh-CN" w:bidi="ar-SA"/>
        </w:rPr>
      </w:pPr>
      <w:r>
        <w:rPr>
          <w:rFonts w:hint="eastAsia" w:cs="宋体"/>
          <w:kern w:val="2"/>
          <w:sz w:val="24"/>
          <w:szCs w:val="24"/>
          <w:highlight w:val="none"/>
          <w:u w:val="none"/>
          <w:lang w:val="en-US" w:eastAsia="zh-CN" w:bidi="ar-SA"/>
        </w:rPr>
        <w:t xml:space="preserve">  </w:t>
      </w:r>
      <w:r>
        <w:rPr>
          <w:rFonts w:hint="eastAsia" w:cs="宋体"/>
          <w:kern w:val="2"/>
          <w:sz w:val="24"/>
          <w:szCs w:val="24"/>
          <w:highlight w:val="none"/>
          <w:u w:val="single"/>
          <w:lang w:val="en-US" w:eastAsia="zh-CN" w:bidi="ar-SA"/>
        </w:rPr>
        <w:t xml:space="preserve">                    </w:t>
      </w:r>
      <w:r>
        <w:rPr>
          <w:rFonts w:hint="eastAsia" w:cs="宋体"/>
          <w:kern w:val="2"/>
          <w:sz w:val="24"/>
          <w:szCs w:val="24"/>
          <w:highlight w:val="none"/>
          <w:u w:val="none"/>
          <w:lang w:val="en-US" w:eastAsia="zh-CN" w:bidi="ar-SA"/>
        </w:rPr>
        <w:t xml:space="preserve">（甲方）所需 </w:t>
      </w:r>
      <w:r>
        <w:rPr>
          <w:rFonts w:hint="eastAsia" w:cs="宋体"/>
          <w:kern w:val="2"/>
          <w:sz w:val="24"/>
          <w:szCs w:val="24"/>
          <w:highlight w:val="none"/>
          <w:u w:val="single"/>
          <w:lang w:val="en-US" w:eastAsia="zh-CN" w:bidi="ar-SA"/>
        </w:rPr>
        <w:t xml:space="preserve">               </w:t>
      </w:r>
      <w:r>
        <w:rPr>
          <w:rFonts w:hint="eastAsia" w:cs="宋体"/>
          <w:kern w:val="2"/>
          <w:sz w:val="24"/>
          <w:szCs w:val="24"/>
          <w:highlight w:val="none"/>
          <w:lang w:val="en-US" w:eastAsia="zh-CN" w:bidi="ar-SA"/>
        </w:rPr>
        <w:t>（货物名称）以</w:t>
      </w:r>
      <w:r>
        <w:rPr>
          <w:rFonts w:hint="eastAsia" w:cs="宋体"/>
          <w:kern w:val="2"/>
          <w:sz w:val="24"/>
          <w:szCs w:val="24"/>
          <w:highlight w:val="none"/>
          <w:u w:val="single"/>
          <w:lang w:val="en-US" w:eastAsia="zh-CN" w:bidi="ar-SA"/>
        </w:rPr>
        <w:t>公开招标</w:t>
      </w:r>
      <w:r>
        <w:rPr>
          <w:rFonts w:hint="eastAsia" w:cs="宋体"/>
          <w:kern w:val="2"/>
          <w:sz w:val="24"/>
          <w:szCs w:val="24"/>
          <w:highlight w:val="none"/>
          <w:lang w:val="en-US" w:eastAsia="zh-CN" w:bidi="ar-SA"/>
        </w:rPr>
        <w:t>方式进行采购。经评标委员会确定</w:t>
      </w:r>
      <w:r>
        <w:rPr>
          <w:rFonts w:hint="eastAsia" w:cs="宋体"/>
          <w:kern w:val="2"/>
          <w:sz w:val="24"/>
          <w:szCs w:val="24"/>
          <w:highlight w:val="none"/>
          <w:u w:val="single"/>
          <w:lang w:val="en-US" w:eastAsia="zh-CN" w:bidi="ar-SA"/>
        </w:rPr>
        <w:t xml:space="preserve">                   </w:t>
      </w:r>
      <w:r>
        <w:rPr>
          <w:rFonts w:hint="eastAsia" w:cs="宋体"/>
          <w:kern w:val="2"/>
          <w:sz w:val="24"/>
          <w:szCs w:val="24"/>
          <w:highlight w:val="none"/>
          <w:lang w:val="en-US" w:eastAsia="zh-CN" w:bidi="ar-SA"/>
        </w:rPr>
        <w:t>（乙方）为成交供应商。甲、乙双方根据《中华人民共和国合同法》、《中华人民共和国政府采购法》和其他法律、法规的规定，并按照公正、平等、资源、诚实信用的原则，同意按照以下条款和条件，签署本合同。</w:t>
      </w:r>
    </w:p>
    <w:p>
      <w:pPr>
        <w:pStyle w:val="9"/>
        <w:widowControl w:val="0"/>
        <w:numPr>
          <w:ilvl w:val="0"/>
          <w:numId w:val="24"/>
        </w:numPr>
        <w:spacing w:before="0" w:beforeAutospacing="0" w:after="0" w:afterAutospacing="0" w:line="440" w:lineRule="exact"/>
        <w:jc w:val="both"/>
        <w:rPr>
          <w:rFonts w:hint="eastAsia" w:cs="宋体"/>
          <w:kern w:val="2"/>
          <w:sz w:val="24"/>
          <w:szCs w:val="24"/>
          <w:highlight w:val="none"/>
          <w:lang w:val="en-US" w:eastAsia="zh-CN" w:bidi="ar-SA"/>
        </w:rPr>
      </w:pPr>
      <w:r>
        <w:rPr>
          <w:rFonts w:hint="eastAsia" w:cs="宋体"/>
          <w:kern w:val="2"/>
          <w:sz w:val="24"/>
          <w:szCs w:val="24"/>
          <w:highlight w:val="none"/>
          <w:lang w:val="en-US" w:eastAsia="zh-CN" w:bidi="ar-SA"/>
        </w:rPr>
        <w:t>本合同由合同文本和下列文件组成</w:t>
      </w:r>
    </w:p>
    <w:p>
      <w:pPr>
        <w:pStyle w:val="9"/>
        <w:widowControl w:val="0"/>
        <w:numPr>
          <w:ilvl w:val="0"/>
          <w:numId w:val="25"/>
        </w:numPr>
        <w:spacing w:before="0" w:beforeAutospacing="0" w:after="0" w:afterAutospacing="0" w:line="440" w:lineRule="exact"/>
        <w:jc w:val="both"/>
        <w:rPr>
          <w:rFonts w:hint="eastAsia" w:cs="宋体"/>
          <w:kern w:val="2"/>
          <w:sz w:val="24"/>
          <w:szCs w:val="24"/>
          <w:highlight w:val="none"/>
          <w:lang w:val="en-US" w:eastAsia="zh-CN" w:bidi="ar-SA"/>
        </w:rPr>
      </w:pPr>
      <w:r>
        <w:rPr>
          <w:rFonts w:hint="eastAsia" w:cs="宋体"/>
          <w:kern w:val="2"/>
          <w:sz w:val="24"/>
          <w:szCs w:val="24"/>
          <w:highlight w:val="none"/>
          <w:lang w:val="en-US" w:eastAsia="zh-CN" w:bidi="ar-SA"/>
        </w:rPr>
        <w:t>采购文件</w:t>
      </w:r>
    </w:p>
    <w:p>
      <w:pPr>
        <w:pStyle w:val="9"/>
        <w:widowControl w:val="0"/>
        <w:numPr>
          <w:ilvl w:val="0"/>
          <w:numId w:val="25"/>
        </w:numPr>
        <w:spacing w:before="0" w:beforeAutospacing="0" w:after="0" w:afterAutospacing="0" w:line="440" w:lineRule="exact"/>
        <w:jc w:val="both"/>
        <w:rPr>
          <w:rFonts w:hint="eastAsia" w:cs="宋体"/>
          <w:kern w:val="2"/>
          <w:sz w:val="24"/>
          <w:szCs w:val="24"/>
          <w:highlight w:val="none"/>
          <w:lang w:val="en-US" w:eastAsia="zh-CN" w:bidi="ar-SA"/>
        </w:rPr>
      </w:pPr>
      <w:r>
        <w:rPr>
          <w:rFonts w:hint="eastAsia" w:cs="宋体"/>
          <w:kern w:val="2"/>
          <w:sz w:val="24"/>
          <w:szCs w:val="24"/>
          <w:highlight w:val="none"/>
          <w:lang w:val="en-US" w:eastAsia="zh-CN" w:bidi="ar-SA"/>
        </w:rPr>
        <w:t>投标文件</w:t>
      </w:r>
    </w:p>
    <w:p>
      <w:pPr>
        <w:pStyle w:val="9"/>
        <w:widowControl w:val="0"/>
        <w:numPr>
          <w:ilvl w:val="0"/>
          <w:numId w:val="25"/>
        </w:numPr>
        <w:spacing w:before="0" w:beforeAutospacing="0" w:after="0" w:afterAutospacing="0" w:line="440" w:lineRule="exact"/>
        <w:jc w:val="both"/>
        <w:rPr>
          <w:rFonts w:hint="eastAsia" w:cs="宋体"/>
          <w:kern w:val="2"/>
          <w:sz w:val="24"/>
          <w:szCs w:val="24"/>
          <w:highlight w:val="none"/>
          <w:lang w:val="en-US" w:eastAsia="zh-CN" w:bidi="ar-SA"/>
        </w:rPr>
      </w:pPr>
      <w:r>
        <w:rPr>
          <w:rFonts w:hint="eastAsia" w:cs="宋体"/>
          <w:kern w:val="2"/>
          <w:sz w:val="24"/>
          <w:szCs w:val="24"/>
          <w:highlight w:val="none"/>
          <w:lang w:val="en-US" w:eastAsia="zh-CN" w:bidi="ar-SA"/>
        </w:rPr>
        <w:t>成交通知书</w:t>
      </w:r>
    </w:p>
    <w:p>
      <w:pPr>
        <w:pStyle w:val="9"/>
        <w:widowControl w:val="0"/>
        <w:numPr>
          <w:ilvl w:val="0"/>
          <w:numId w:val="25"/>
        </w:numPr>
        <w:spacing w:before="0" w:beforeAutospacing="0" w:after="0" w:afterAutospacing="0" w:line="440" w:lineRule="exact"/>
        <w:jc w:val="both"/>
        <w:rPr>
          <w:rFonts w:hint="eastAsia" w:cs="宋体"/>
          <w:kern w:val="2"/>
          <w:sz w:val="24"/>
          <w:szCs w:val="24"/>
          <w:highlight w:val="none"/>
          <w:lang w:val="en-US" w:eastAsia="zh-CN" w:bidi="ar-SA"/>
        </w:rPr>
      </w:pPr>
      <w:r>
        <w:rPr>
          <w:rFonts w:hint="eastAsia" w:cs="宋体"/>
          <w:kern w:val="2"/>
          <w:sz w:val="24"/>
          <w:szCs w:val="24"/>
          <w:highlight w:val="none"/>
          <w:lang w:val="en-US" w:eastAsia="zh-CN" w:bidi="ar-SA"/>
        </w:rPr>
        <w:t>成交人做出的书面澄清或承诺</w:t>
      </w:r>
    </w:p>
    <w:p>
      <w:pPr>
        <w:pStyle w:val="9"/>
        <w:widowControl w:val="0"/>
        <w:numPr>
          <w:ilvl w:val="0"/>
          <w:numId w:val="25"/>
        </w:numPr>
        <w:spacing w:before="0" w:beforeAutospacing="0" w:after="0" w:afterAutospacing="0" w:line="440" w:lineRule="exact"/>
        <w:jc w:val="both"/>
        <w:rPr>
          <w:rFonts w:hint="eastAsia" w:cs="宋体"/>
          <w:kern w:val="2"/>
          <w:sz w:val="24"/>
          <w:szCs w:val="24"/>
          <w:highlight w:val="none"/>
          <w:lang w:val="en-US" w:eastAsia="zh-CN" w:bidi="ar-SA"/>
        </w:rPr>
      </w:pPr>
      <w:r>
        <w:rPr>
          <w:rFonts w:hint="eastAsia" w:cs="宋体"/>
          <w:kern w:val="2"/>
          <w:sz w:val="24"/>
          <w:szCs w:val="24"/>
          <w:highlight w:val="none"/>
          <w:lang w:val="en-US" w:eastAsia="zh-CN" w:bidi="ar-SA"/>
        </w:rPr>
        <w:t>本合同附件</w:t>
      </w:r>
    </w:p>
    <w:p>
      <w:pPr>
        <w:pStyle w:val="9"/>
        <w:widowControl w:val="0"/>
        <w:numPr>
          <w:ilvl w:val="0"/>
          <w:numId w:val="26"/>
        </w:numPr>
        <w:spacing w:before="0" w:beforeAutospacing="0" w:after="0" w:afterAutospacing="0" w:line="440" w:lineRule="exact"/>
        <w:jc w:val="both"/>
        <w:rPr>
          <w:rFonts w:hint="eastAsia" w:cs="宋体"/>
          <w:kern w:val="2"/>
          <w:sz w:val="24"/>
          <w:szCs w:val="24"/>
          <w:highlight w:val="none"/>
          <w:lang w:val="en-US" w:eastAsia="zh-CN" w:bidi="ar-SA"/>
        </w:rPr>
      </w:pPr>
      <w:r>
        <w:rPr>
          <w:rFonts w:hint="eastAsia" w:cs="宋体"/>
          <w:kern w:val="2"/>
          <w:sz w:val="24"/>
          <w:szCs w:val="24"/>
          <w:highlight w:val="none"/>
          <w:lang w:val="en-US" w:eastAsia="zh-CN" w:bidi="ar-SA"/>
        </w:rPr>
        <w:t>货物名称、数量、单价、规格和标准;</w:t>
      </w:r>
      <w:r>
        <w:rPr>
          <w:rFonts w:hint="eastAsia" w:cs="宋体"/>
          <w:color w:val="3366FF"/>
          <w:kern w:val="2"/>
          <w:sz w:val="24"/>
          <w:szCs w:val="24"/>
          <w:highlight w:val="none"/>
          <w:lang w:val="en-US" w:eastAsia="zh-CN" w:bidi="ar-SA"/>
        </w:rPr>
        <w:t>相关附属工程清单量、综合单价、总价</w:t>
      </w:r>
    </w:p>
    <w:p>
      <w:pPr>
        <w:pStyle w:val="9"/>
        <w:widowControl w:val="0"/>
        <w:numPr>
          <w:numId w:val="0"/>
        </w:numPr>
        <w:spacing w:before="0" w:beforeAutospacing="0" w:after="0" w:afterAutospacing="0" w:line="440" w:lineRule="exact"/>
        <w:jc w:val="both"/>
        <w:rPr>
          <w:rFonts w:hint="eastAsia" w:cs="宋体"/>
          <w:kern w:val="2"/>
          <w:sz w:val="24"/>
          <w:szCs w:val="24"/>
          <w:highlight w:val="none"/>
          <w:u w:val="single"/>
          <w:lang w:val="en-US" w:eastAsia="zh-CN" w:bidi="ar-SA"/>
        </w:rPr>
      </w:pPr>
      <w:r>
        <w:rPr>
          <w:rFonts w:hint="eastAsia" w:cs="宋体"/>
          <w:kern w:val="2"/>
          <w:sz w:val="24"/>
          <w:szCs w:val="24"/>
          <w:highlight w:val="none"/>
          <w:u w:val="single"/>
          <w:lang w:val="en-US" w:eastAsia="zh-CN" w:bidi="ar-SA"/>
        </w:rPr>
        <w:t xml:space="preserve">（详细清单附件）                                                    </w:t>
      </w:r>
    </w:p>
    <w:p>
      <w:pPr>
        <w:pStyle w:val="9"/>
        <w:widowControl w:val="0"/>
        <w:numPr>
          <w:numId w:val="0"/>
        </w:numPr>
        <w:spacing w:before="0" w:beforeAutospacing="0" w:after="0" w:afterAutospacing="0" w:line="440" w:lineRule="exact"/>
        <w:jc w:val="both"/>
        <w:rPr>
          <w:rFonts w:hint="eastAsia" w:cs="宋体"/>
          <w:kern w:val="2"/>
          <w:sz w:val="24"/>
          <w:szCs w:val="24"/>
          <w:highlight w:val="none"/>
          <w:u w:val="single"/>
          <w:lang w:val="en-US" w:eastAsia="zh-CN" w:bidi="ar-SA"/>
        </w:rPr>
      </w:pPr>
      <w:r>
        <w:rPr>
          <w:rFonts w:hint="eastAsia" w:cs="宋体"/>
          <w:kern w:val="2"/>
          <w:sz w:val="24"/>
          <w:szCs w:val="24"/>
          <w:highlight w:val="none"/>
          <w:u w:val="single"/>
          <w:lang w:val="en-US" w:eastAsia="zh-CN" w:bidi="ar-SA"/>
        </w:rPr>
        <w:t xml:space="preserve">                                                                    </w:t>
      </w:r>
    </w:p>
    <w:p>
      <w:pPr>
        <w:pStyle w:val="9"/>
        <w:widowControl w:val="0"/>
        <w:numPr>
          <w:ilvl w:val="0"/>
          <w:numId w:val="26"/>
        </w:numPr>
        <w:spacing w:before="0" w:beforeAutospacing="0" w:after="0" w:afterAutospacing="0" w:line="440" w:lineRule="exact"/>
        <w:jc w:val="both"/>
        <w:rPr>
          <w:rFonts w:hint="eastAsia" w:cs="宋体"/>
          <w:kern w:val="2"/>
          <w:sz w:val="24"/>
          <w:szCs w:val="24"/>
          <w:highlight w:val="none"/>
          <w:u w:val="none"/>
          <w:lang w:val="en-US" w:eastAsia="zh-CN" w:bidi="ar-SA"/>
        </w:rPr>
      </w:pPr>
      <w:r>
        <w:rPr>
          <w:rFonts w:hint="eastAsia" w:cs="宋体"/>
          <w:kern w:val="2"/>
          <w:sz w:val="24"/>
          <w:szCs w:val="24"/>
          <w:highlight w:val="none"/>
          <w:u w:val="none"/>
          <w:lang w:val="en-US" w:eastAsia="zh-CN" w:bidi="ar-SA"/>
        </w:rPr>
        <w:t>合同金额</w:t>
      </w:r>
    </w:p>
    <w:p>
      <w:pPr>
        <w:pStyle w:val="9"/>
        <w:widowControl w:val="0"/>
        <w:numPr>
          <w:numId w:val="0"/>
        </w:numPr>
        <w:spacing w:before="0" w:beforeAutospacing="0" w:after="0" w:afterAutospacing="0" w:line="440" w:lineRule="exact"/>
        <w:jc w:val="both"/>
        <w:rPr>
          <w:rFonts w:hint="eastAsia" w:cs="宋体"/>
          <w:kern w:val="2"/>
          <w:sz w:val="24"/>
          <w:szCs w:val="24"/>
          <w:highlight w:val="none"/>
          <w:u w:val="none"/>
          <w:lang w:val="en-US" w:eastAsia="zh-CN" w:bidi="ar-SA"/>
        </w:rPr>
      </w:pPr>
      <w:r>
        <w:rPr>
          <w:rFonts w:hint="eastAsia" w:cs="宋体"/>
          <w:kern w:val="2"/>
          <w:sz w:val="24"/>
          <w:szCs w:val="24"/>
          <w:highlight w:val="none"/>
          <w:u w:val="none"/>
          <w:lang w:val="en-US" w:eastAsia="zh-CN" w:bidi="ar-SA"/>
        </w:rPr>
        <w:t>合同金额：人民币</w:t>
      </w:r>
      <w:r>
        <w:rPr>
          <w:rFonts w:hint="eastAsia" w:cs="宋体"/>
          <w:kern w:val="2"/>
          <w:sz w:val="24"/>
          <w:szCs w:val="24"/>
          <w:highlight w:val="none"/>
          <w:u w:val="single"/>
          <w:lang w:val="en-US" w:eastAsia="zh-CN" w:bidi="ar-SA"/>
        </w:rPr>
        <w:t xml:space="preserve">                                        </w:t>
      </w:r>
      <w:r>
        <w:rPr>
          <w:rFonts w:hint="eastAsia" w:cs="宋体"/>
          <w:kern w:val="2"/>
          <w:sz w:val="24"/>
          <w:szCs w:val="24"/>
          <w:highlight w:val="none"/>
          <w:u w:val="none"/>
          <w:lang w:val="en-US" w:eastAsia="zh-CN" w:bidi="ar-SA"/>
        </w:rPr>
        <w:t>元（大写）</w:t>
      </w:r>
    </w:p>
    <w:p>
      <w:pPr>
        <w:pStyle w:val="9"/>
        <w:widowControl w:val="0"/>
        <w:numPr>
          <w:numId w:val="0"/>
        </w:numPr>
        <w:spacing w:before="0" w:beforeAutospacing="0" w:after="0" w:afterAutospacing="0" w:line="440" w:lineRule="exact"/>
        <w:jc w:val="both"/>
        <w:rPr>
          <w:rFonts w:hint="eastAsia" w:cs="宋体"/>
          <w:kern w:val="2"/>
          <w:sz w:val="24"/>
          <w:szCs w:val="24"/>
          <w:highlight w:val="none"/>
          <w:u w:val="none"/>
          <w:lang w:val="en-US" w:eastAsia="zh-CN" w:bidi="ar-SA"/>
        </w:rPr>
      </w:pPr>
      <w:r>
        <w:rPr>
          <w:rFonts w:hint="eastAsia" w:cs="宋体"/>
          <w:kern w:val="2"/>
          <w:sz w:val="24"/>
          <w:szCs w:val="24"/>
          <w:highlight w:val="none"/>
          <w:u w:val="none"/>
          <w:lang w:val="en-US" w:eastAsia="zh-CN" w:bidi="ar-SA"/>
        </w:rPr>
        <w:t xml:space="preserve">          人民币</w:t>
      </w:r>
      <w:r>
        <w:rPr>
          <w:rFonts w:hint="eastAsia" w:cs="宋体"/>
          <w:kern w:val="2"/>
          <w:sz w:val="24"/>
          <w:szCs w:val="24"/>
          <w:highlight w:val="none"/>
          <w:u w:val="single"/>
          <w:lang w:val="en-US" w:eastAsia="zh-CN" w:bidi="ar-SA"/>
        </w:rPr>
        <w:t xml:space="preserve">                                        </w:t>
      </w:r>
      <w:r>
        <w:rPr>
          <w:rFonts w:hint="eastAsia" w:cs="宋体"/>
          <w:kern w:val="2"/>
          <w:sz w:val="24"/>
          <w:szCs w:val="24"/>
          <w:highlight w:val="none"/>
          <w:u w:val="none"/>
          <w:lang w:val="en-US" w:eastAsia="zh-CN" w:bidi="ar-SA"/>
        </w:rPr>
        <w:t>元 （小写）</w:t>
      </w:r>
    </w:p>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u w:val="none"/>
          <w:lang w:val="en-US" w:eastAsia="zh-CN"/>
        </w:rPr>
      </w:pPr>
      <w:r>
        <w:rPr>
          <w:rFonts w:hint="eastAsia" w:ascii="宋体" w:hAnsi="宋体" w:cs="宋体"/>
          <w:sz w:val="24"/>
          <w:szCs w:val="24"/>
          <w:highlight w:val="none"/>
          <w:u w:val="none"/>
          <w:lang w:val="en-US" w:eastAsia="zh-CN"/>
        </w:rPr>
        <w:t>四、贷款支付</w:t>
      </w:r>
    </w:p>
    <w:p>
      <w:pPr>
        <w:widowControl w:val="0"/>
        <w:numPr>
          <w:numId w:val="0"/>
        </w:numPr>
        <w:wordWrap/>
        <w:adjustRightInd/>
        <w:snapToGrid/>
        <w:spacing w:line="360" w:lineRule="auto"/>
        <w:ind w:left="0" w:leftChars="0" w:right="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1.付款方式：</w:t>
      </w:r>
      <w:r>
        <w:rPr>
          <w:rFonts w:hint="eastAsia" w:ascii="宋体" w:hAnsi="宋体" w:cs="宋体"/>
          <w:sz w:val="24"/>
          <w:szCs w:val="24"/>
          <w:highlight w:val="none"/>
          <w:u w:val="single"/>
          <w:lang w:val="en-US" w:eastAsia="zh-CN"/>
        </w:rPr>
        <w:t xml:space="preserve">                                 </w:t>
      </w:r>
    </w:p>
    <w:p>
      <w:pPr>
        <w:numPr>
          <w:numId w:val="0"/>
        </w:numPr>
        <w:jc w:val="both"/>
        <w:rPr>
          <w:rFonts w:hint="eastAsia" w:ascii="宋体" w:hAnsi="宋体" w:cs="宋体"/>
          <w:b w:val="0"/>
          <w:bCs w:val="0"/>
          <w:sz w:val="24"/>
          <w:szCs w:val="24"/>
          <w:highlight w:val="none"/>
          <w:lang w:val="en-US" w:eastAsia="zh-CN"/>
        </w:rPr>
      </w:pPr>
      <w:r>
        <w:rPr>
          <w:rFonts w:hint="eastAsia" w:ascii="宋体" w:hAnsi="宋体" w:cs="宋体"/>
          <w:b/>
          <w:bCs/>
          <w:sz w:val="24"/>
          <w:szCs w:val="24"/>
          <w:highlight w:val="none"/>
          <w:lang w:val="en-US" w:eastAsia="zh-CN"/>
        </w:rPr>
        <w:t>2.</w:t>
      </w:r>
      <w:r>
        <w:rPr>
          <w:rFonts w:hint="eastAsia" w:ascii="宋体" w:hAnsi="宋体" w:cs="宋体"/>
          <w:b w:val="0"/>
          <w:bCs w:val="0"/>
          <w:sz w:val="24"/>
          <w:szCs w:val="24"/>
          <w:highlight w:val="none"/>
          <w:lang w:val="en-US" w:eastAsia="zh-CN"/>
        </w:rPr>
        <w:t>支付途径分为三种：</w:t>
      </w:r>
    </w:p>
    <w:p>
      <w:pPr>
        <w:numPr>
          <w:numId w:val="0"/>
        </w:numPr>
        <w:jc w:val="both"/>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（1）国库集中支付</w:t>
      </w:r>
    </w:p>
    <w:p>
      <w:pPr>
        <w:numPr>
          <w:numId w:val="0"/>
        </w:numPr>
        <w:jc w:val="both"/>
        <w:rPr>
          <w:rFonts w:hint="eastAsia" w:ascii="宋体" w:hAnsi="宋体" w:cs="宋体"/>
          <w:b w:val="0"/>
          <w:bCs w:val="0"/>
          <w:sz w:val="24"/>
          <w:szCs w:val="24"/>
          <w:highlight w:val="none"/>
          <w:u w:val="single"/>
          <w:lang w:val="en-US" w:eastAsia="zh-CN"/>
        </w:rPr>
      </w:pPr>
      <w:r>
        <w:rPr>
          <w:rFonts w:hint="eastAsia" w:ascii="宋体" w:hAnsi="宋体" w:cs="宋体"/>
          <w:b w:val="0"/>
          <w:bCs w:val="0"/>
          <w:sz w:val="24"/>
          <w:szCs w:val="24"/>
          <w:highlight w:val="none"/>
          <w:lang w:val="en-US" w:eastAsia="zh-CN"/>
        </w:rPr>
        <w:t xml:space="preserve">    财政预算内资金：</w:t>
      </w:r>
      <w:r>
        <w:rPr>
          <w:rFonts w:hint="eastAsia" w:ascii="宋体" w:hAnsi="宋体" w:cs="宋体"/>
          <w:b w:val="0"/>
          <w:bCs w:val="0"/>
          <w:sz w:val="24"/>
          <w:szCs w:val="24"/>
          <w:highlight w:val="none"/>
          <w:u w:val="single"/>
          <w:lang w:val="en-US" w:eastAsia="zh-CN"/>
        </w:rPr>
        <w:t>人民币                                 元；</w:t>
      </w:r>
    </w:p>
    <w:p>
      <w:pPr>
        <w:numPr>
          <w:numId w:val="0"/>
        </w:numPr>
        <w:jc w:val="both"/>
        <w:rPr>
          <w:rFonts w:hint="eastAsia" w:ascii="宋体" w:hAnsi="宋体" w:cs="宋体"/>
          <w:b w:val="0"/>
          <w:bCs w:val="0"/>
          <w:sz w:val="24"/>
          <w:szCs w:val="24"/>
          <w:highlight w:val="none"/>
          <w:u w:val="single"/>
          <w:lang w:val="en-US" w:eastAsia="zh-CN"/>
        </w:rPr>
      </w:pPr>
      <w:r>
        <w:rPr>
          <w:rFonts w:hint="eastAsia" w:ascii="宋体" w:hAnsi="宋体" w:cs="宋体"/>
          <w:b w:val="0"/>
          <w:bCs w:val="0"/>
          <w:sz w:val="24"/>
          <w:szCs w:val="24"/>
          <w:highlight w:val="none"/>
          <w:u w:val="none"/>
          <w:lang w:val="en-US" w:eastAsia="zh-CN"/>
        </w:rPr>
        <w:t xml:space="preserve">    财政预算外资金：</w:t>
      </w:r>
      <w:r>
        <w:rPr>
          <w:rFonts w:hint="eastAsia" w:ascii="宋体" w:hAnsi="宋体" w:cs="宋体"/>
          <w:b w:val="0"/>
          <w:bCs w:val="0"/>
          <w:sz w:val="24"/>
          <w:szCs w:val="24"/>
          <w:highlight w:val="none"/>
          <w:u w:val="single"/>
          <w:lang w:val="en-US" w:eastAsia="zh-CN"/>
        </w:rPr>
        <w:t>人民币                                 元；</w:t>
      </w:r>
    </w:p>
    <w:p>
      <w:pPr>
        <w:numPr>
          <w:ilvl w:val="0"/>
          <w:numId w:val="27"/>
        </w:numPr>
        <w:jc w:val="both"/>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甲方支付</w:t>
      </w:r>
    </w:p>
    <w:p>
      <w:pPr>
        <w:numPr>
          <w:numId w:val="0"/>
        </w:numPr>
        <w:jc w:val="both"/>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 xml:space="preserve">     金额：人民币</w:t>
      </w:r>
      <w:r>
        <w:rPr>
          <w:rFonts w:hint="eastAsia" w:ascii="宋体" w:hAnsi="宋体" w:cs="宋体"/>
          <w:b w:val="0"/>
          <w:bCs w:val="0"/>
          <w:sz w:val="24"/>
          <w:szCs w:val="24"/>
          <w:highlight w:val="none"/>
          <w:u w:val="single"/>
          <w:lang w:val="en-US" w:eastAsia="zh-CN"/>
        </w:rPr>
        <w:t xml:space="preserve">                                          </w:t>
      </w:r>
      <w:r>
        <w:rPr>
          <w:rFonts w:hint="eastAsia" w:ascii="宋体" w:hAnsi="宋体" w:cs="宋体"/>
          <w:b w:val="0"/>
          <w:bCs w:val="0"/>
          <w:sz w:val="24"/>
          <w:szCs w:val="24"/>
          <w:highlight w:val="none"/>
          <w:u w:val="none"/>
          <w:lang w:val="en-US" w:eastAsia="zh-CN"/>
        </w:rPr>
        <w:t>元；</w:t>
      </w:r>
    </w:p>
    <w:p>
      <w:pPr>
        <w:numPr>
          <w:ilvl w:val="0"/>
          <w:numId w:val="27"/>
        </w:numPr>
        <w:jc w:val="both"/>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国库与甲方共同支付。</w:t>
      </w:r>
    </w:p>
    <w:p>
      <w:pPr>
        <w:numPr>
          <w:numId w:val="0"/>
        </w:numPr>
        <w:jc w:val="both"/>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 xml:space="preserve">     国库集中支付：人民币</w:t>
      </w:r>
      <w:r>
        <w:rPr>
          <w:rFonts w:hint="eastAsia" w:ascii="宋体" w:hAnsi="宋体" w:cs="宋体"/>
          <w:b w:val="0"/>
          <w:bCs w:val="0"/>
          <w:sz w:val="24"/>
          <w:szCs w:val="24"/>
          <w:highlight w:val="none"/>
          <w:u w:val="single"/>
          <w:lang w:val="en-US" w:eastAsia="zh-CN"/>
        </w:rPr>
        <w:t xml:space="preserve">                                    </w:t>
      </w:r>
      <w:r>
        <w:rPr>
          <w:rFonts w:hint="eastAsia" w:ascii="宋体" w:hAnsi="宋体" w:cs="宋体"/>
          <w:b w:val="0"/>
          <w:bCs w:val="0"/>
          <w:sz w:val="24"/>
          <w:szCs w:val="24"/>
          <w:highlight w:val="none"/>
          <w:u w:val="none"/>
          <w:lang w:val="en-US" w:eastAsia="zh-CN"/>
        </w:rPr>
        <w:t>元。</w:t>
      </w:r>
    </w:p>
    <w:p>
      <w:pPr>
        <w:numPr>
          <w:numId w:val="0"/>
        </w:numPr>
        <w:jc w:val="both"/>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 xml:space="preserve">     甲方支付：人民币</w:t>
      </w:r>
      <w:r>
        <w:rPr>
          <w:rFonts w:hint="eastAsia" w:ascii="宋体" w:hAnsi="宋体" w:cs="宋体"/>
          <w:b w:val="0"/>
          <w:bCs w:val="0"/>
          <w:sz w:val="24"/>
          <w:szCs w:val="24"/>
          <w:highlight w:val="none"/>
          <w:u w:val="single"/>
          <w:lang w:val="en-US" w:eastAsia="zh-CN"/>
        </w:rPr>
        <w:t xml:space="preserve">                                        </w:t>
      </w:r>
      <w:r>
        <w:rPr>
          <w:rFonts w:hint="eastAsia" w:ascii="宋体" w:hAnsi="宋体" w:cs="宋体"/>
          <w:b w:val="0"/>
          <w:bCs w:val="0"/>
          <w:sz w:val="24"/>
          <w:szCs w:val="24"/>
          <w:highlight w:val="none"/>
          <w:u w:val="none"/>
          <w:lang w:val="en-US" w:eastAsia="zh-CN"/>
        </w:rPr>
        <w:t>元。</w:t>
      </w:r>
    </w:p>
    <w:p>
      <w:pPr>
        <w:numPr>
          <w:numId w:val="0"/>
        </w:numPr>
        <w:jc w:val="both"/>
        <w:rPr>
          <w:rFonts w:hint="eastAsia" w:ascii="宋体" w:hAnsi="宋体" w:cs="宋体"/>
          <w:b w:val="0"/>
          <w:bCs w:val="0"/>
          <w:sz w:val="24"/>
          <w:szCs w:val="24"/>
          <w:highlight w:val="none"/>
          <w:u w:val="single"/>
          <w:lang w:val="en-US" w:eastAsia="zh-CN"/>
        </w:rPr>
      </w:pPr>
      <w:r>
        <w:rPr>
          <w:rFonts w:hint="eastAsia" w:ascii="宋体" w:hAnsi="宋体" w:cs="宋体"/>
          <w:b w:val="0"/>
          <w:bCs w:val="0"/>
          <w:sz w:val="24"/>
          <w:szCs w:val="24"/>
          <w:highlight w:val="none"/>
          <w:u w:val="none"/>
          <w:lang w:val="en-US" w:eastAsia="zh-CN"/>
        </w:rPr>
        <w:t>本合同的支付途径采用其中第</w:t>
      </w:r>
      <w:r>
        <w:rPr>
          <w:rFonts w:hint="eastAsia" w:ascii="宋体" w:hAnsi="宋体" w:cs="宋体"/>
          <w:b w:val="0"/>
          <w:bCs w:val="0"/>
          <w:sz w:val="24"/>
          <w:szCs w:val="24"/>
          <w:highlight w:val="none"/>
          <w:u w:val="single"/>
          <w:lang w:val="en-US" w:eastAsia="zh-CN"/>
        </w:rPr>
        <w:t xml:space="preserve">   </w:t>
      </w:r>
      <w:r>
        <w:rPr>
          <w:rFonts w:hint="eastAsia" w:ascii="宋体" w:hAnsi="宋体" w:cs="宋体"/>
          <w:b w:val="0"/>
          <w:bCs w:val="0"/>
          <w:sz w:val="24"/>
          <w:szCs w:val="24"/>
          <w:highlight w:val="none"/>
          <w:u w:val="none"/>
          <w:lang w:val="en-US" w:eastAsia="zh-CN"/>
        </w:rPr>
        <w:t>种。</w:t>
      </w:r>
    </w:p>
    <w:p>
      <w:pPr>
        <w:numPr>
          <w:ilvl w:val="0"/>
          <w:numId w:val="28"/>
        </w:numPr>
        <w:jc w:val="both"/>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货物交付</w:t>
      </w:r>
    </w:p>
    <w:p>
      <w:pPr>
        <w:numPr>
          <w:ilvl w:val="0"/>
          <w:numId w:val="29"/>
        </w:numPr>
        <w:jc w:val="both"/>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货物交付时间：</w:t>
      </w:r>
    </w:p>
    <w:p>
      <w:pPr>
        <w:numPr>
          <w:numId w:val="0"/>
        </w:numPr>
        <w:jc w:val="both"/>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 xml:space="preserve">   合同生效后于    年     月    日以前</w:t>
      </w:r>
      <w:r>
        <w:rPr>
          <w:rFonts w:hint="eastAsia" w:ascii="宋体" w:hAnsi="宋体" w:eastAsia="宋体" w:cs="宋体"/>
          <w:color w:val="3366FF"/>
          <w:sz w:val="24"/>
          <w:szCs w:val="24"/>
          <w:highlight w:val="none"/>
          <w:lang w:val="en-US" w:eastAsia="zh-CN"/>
        </w:rPr>
        <w:t>货到安装施工完毕验收合格</w:t>
      </w:r>
      <w:r>
        <w:rPr>
          <w:rFonts w:hint="eastAsia" w:ascii="宋体" w:hAnsi="宋体" w:cs="宋体"/>
          <w:b w:val="0"/>
          <w:bCs w:val="0"/>
          <w:sz w:val="24"/>
          <w:szCs w:val="24"/>
          <w:highlight w:val="none"/>
          <w:u w:val="none"/>
          <w:lang w:val="en-US" w:eastAsia="zh-CN"/>
        </w:rPr>
        <w:t>。</w:t>
      </w:r>
    </w:p>
    <w:p>
      <w:pPr>
        <w:numPr>
          <w:ilvl w:val="0"/>
          <w:numId w:val="29"/>
        </w:numPr>
        <w:jc w:val="both"/>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验收及交付地点：</w:t>
      </w:r>
    </w:p>
    <w:p>
      <w:pPr>
        <w:numPr>
          <w:ilvl w:val="0"/>
          <w:numId w:val="29"/>
        </w:numPr>
        <w:jc w:val="both"/>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风险负担：</w:t>
      </w:r>
    </w:p>
    <w:p>
      <w:pPr>
        <w:numPr>
          <w:numId w:val="0"/>
        </w:numPr>
        <w:jc w:val="both"/>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 xml:space="preserve">   货物损毁、灭失的风险在该货物通过甲乙双方联合验收支付前由乙方承担，通过联合验收交付后由甲方承担；因质量问题甲方拒收的，风险由乙方承担。</w:t>
      </w:r>
    </w:p>
    <w:p>
      <w:pPr>
        <w:numPr>
          <w:numId w:val="0"/>
        </w:numPr>
        <w:jc w:val="both"/>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 xml:space="preserve">   </w:t>
      </w:r>
      <w:r>
        <w:rPr>
          <w:rFonts w:hint="eastAsia" w:ascii="宋体" w:hAnsi="宋体" w:cs="宋体"/>
          <w:b w:val="0"/>
          <w:bCs w:val="0"/>
          <w:color w:val="3366FF"/>
          <w:sz w:val="24"/>
          <w:szCs w:val="24"/>
          <w:highlight w:val="none"/>
          <w:u w:val="none"/>
          <w:lang w:val="en-US" w:eastAsia="zh-CN"/>
        </w:rPr>
        <w:t>安装施工过程中的安全问题有乙方负责，甲方不承担任何安全责任。</w:t>
      </w:r>
    </w:p>
    <w:p>
      <w:pPr>
        <w:numPr>
          <w:numId w:val="0"/>
        </w:numPr>
        <w:jc w:val="both"/>
        <w:rPr>
          <w:rFonts w:hint="eastAsia" w:ascii="宋体" w:hAnsi="宋体" w:cs="宋体"/>
          <w:b w:val="0"/>
          <w:bCs w:val="0"/>
          <w:sz w:val="24"/>
          <w:szCs w:val="24"/>
          <w:highlight w:val="none"/>
          <w:u w:val="none"/>
          <w:lang w:val="en-US" w:eastAsia="zh-CN"/>
        </w:rPr>
      </w:pPr>
    </w:p>
    <w:p>
      <w:pPr>
        <w:numPr>
          <w:ilvl w:val="0"/>
          <w:numId w:val="30"/>
        </w:numPr>
        <w:jc w:val="both"/>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质量</w:t>
      </w:r>
    </w:p>
    <w:p>
      <w:pPr>
        <w:numPr>
          <w:numId w:val="0"/>
        </w:numPr>
        <w:ind w:firstLine="480"/>
        <w:jc w:val="both"/>
        <w:rPr>
          <w:rFonts w:hint="eastAsia" w:ascii="宋体" w:hAnsi="宋体" w:cs="宋体"/>
          <w:b w:val="0"/>
          <w:bCs w:val="0"/>
          <w:sz w:val="24"/>
          <w:szCs w:val="24"/>
          <w:highlight w:val="none"/>
          <w:u w:val="none"/>
          <w:lang w:val="en-US" w:eastAsia="zh-CN"/>
        </w:rPr>
      </w:pPr>
      <w:r>
        <w:rPr>
          <w:rFonts w:hint="eastAsia" w:ascii="宋体" w:hAnsi="宋体" w:cs="宋体"/>
          <w:b w:val="0"/>
          <w:bCs w:val="0"/>
          <w:color w:val="3366FF"/>
          <w:sz w:val="24"/>
          <w:szCs w:val="24"/>
          <w:highlight w:val="none"/>
          <w:u w:val="none"/>
          <w:lang w:val="en-US" w:eastAsia="zh-CN"/>
        </w:rPr>
        <w:t>货物的质量及其安装施工过程</w:t>
      </w:r>
      <w:r>
        <w:rPr>
          <w:rFonts w:hint="eastAsia" w:ascii="宋体" w:hAnsi="宋体" w:cs="宋体"/>
          <w:b w:val="0"/>
          <w:bCs w:val="0"/>
          <w:sz w:val="24"/>
          <w:szCs w:val="24"/>
          <w:highlight w:val="none"/>
          <w:u w:val="none"/>
          <w:lang w:val="en-US" w:eastAsia="zh-CN"/>
        </w:rPr>
        <w:t>应符合采购文件、投标文件及乙方在询标过程中做出的书面澄清及承诺。</w:t>
      </w:r>
    </w:p>
    <w:p>
      <w:pPr>
        <w:numPr>
          <w:ilvl w:val="0"/>
          <w:numId w:val="30"/>
        </w:numPr>
        <w:jc w:val="both"/>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包装</w:t>
      </w:r>
    </w:p>
    <w:p>
      <w:pPr>
        <w:numPr>
          <w:numId w:val="0"/>
        </w:numPr>
        <w:ind w:firstLine="480"/>
        <w:jc w:val="both"/>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货物的包装应按照国家或业务主管部门的技术规定执行，国家或业务主管部门无技术规定的，应当按双方约定采取足以保护货物安全、完好的包装方式。</w:t>
      </w:r>
    </w:p>
    <w:p>
      <w:pPr>
        <w:numPr>
          <w:ilvl w:val="0"/>
          <w:numId w:val="30"/>
        </w:numPr>
        <w:jc w:val="both"/>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运输要求</w:t>
      </w:r>
    </w:p>
    <w:p>
      <w:pPr>
        <w:numPr>
          <w:ilvl w:val="0"/>
          <w:numId w:val="31"/>
        </w:numPr>
        <w:jc w:val="both"/>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运输方式及线路：</w:t>
      </w:r>
    </w:p>
    <w:p>
      <w:pPr>
        <w:numPr>
          <w:ilvl w:val="0"/>
          <w:numId w:val="31"/>
        </w:numPr>
        <w:jc w:val="both"/>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运输及相关费用由乙方承担。</w:t>
      </w:r>
    </w:p>
    <w:p>
      <w:pPr>
        <w:numPr>
          <w:ilvl w:val="0"/>
          <w:numId w:val="32"/>
        </w:numPr>
        <w:jc w:val="both"/>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知识产权</w:t>
      </w:r>
    </w:p>
    <w:p>
      <w:pPr>
        <w:numPr>
          <w:numId w:val="0"/>
        </w:numPr>
        <w:ind w:firstLine="480"/>
        <w:jc w:val="both"/>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乙方应保证甲方在中国境内使用货物或货物的任何一部分时，免收第三方提出的侵犯其知识产权的诉讼。</w:t>
      </w:r>
    </w:p>
    <w:p>
      <w:pPr>
        <w:numPr>
          <w:ilvl w:val="0"/>
          <w:numId w:val="32"/>
        </w:numPr>
        <w:jc w:val="both"/>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验收</w:t>
      </w:r>
    </w:p>
    <w:p>
      <w:pPr>
        <w:numPr>
          <w:ilvl w:val="0"/>
          <w:numId w:val="33"/>
        </w:numPr>
        <w:jc w:val="both"/>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设备到货后，甲方和乙方</w:t>
      </w:r>
      <w:r>
        <w:rPr>
          <w:rFonts w:hint="eastAsia" w:ascii="宋体" w:hAnsi="宋体" w:cs="宋体"/>
          <w:b w:val="0"/>
          <w:bCs w:val="0"/>
          <w:sz w:val="24"/>
          <w:szCs w:val="24"/>
          <w:highlight w:val="none"/>
          <w:u w:val="single"/>
          <w:lang w:val="en-US" w:eastAsia="zh-CN"/>
        </w:rPr>
        <w:t xml:space="preserve">   </w:t>
      </w:r>
      <w:r>
        <w:rPr>
          <w:rFonts w:hint="eastAsia" w:ascii="宋体" w:hAnsi="宋体" w:cs="宋体"/>
          <w:b w:val="0"/>
          <w:bCs w:val="0"/>
          <w:sz w:val="24"/>
          <w:szCs w:val="24"/>
          <w:highlight w:val="none"/>
          <w:u w:val="none"/>
          <w:lang w:val="en-US" w:eastAsia="zh-CN"/>
        </w:rPr>
        <w:t>个工作日内共同开箱检验货物的质量状况和数量，视为初验，如货物需要安装、调试，则由乙方负责并承担显影的费用，甲方应积极配合，安装调试后设备运行</w:t>
      </w:r>
      <w:r>
        <w:rPr>
          <w:rFonts w:hint="eastAsia" w:ascii="宋体" w:hAnsi="宋体" w:cs="宋体"/>
          <w:b w:val="0"/>
          <w:bCs w:val="0"/>
          <w:sz w:val="24"/>
          <w:szCs w:val="24"/>
          <w:highlight w:val="none"/>
          <w:u w:val="single"/>
          <w:lang w:val="en-US" w:eastAsia="zh-CN"/>
        </w:rPr>
        <w:t xml:space="preserve">   </w:t>
      </w:r>
      <w:r>
        <w:rPr>
          <w:rFonts w:hint="eastAsia" w:ascii="宋体" w:hAnsi="宋体" w:cs="宋体"/>
          <w:b w:val="0"/>
          <w:bCs w:val="0"/>
          <w:sz w:val="24"/>
          <w:szCs w:val="24"/>
          <w:highlight w:val="none"/>
          <w:u w:val="none"/>
          <w:lang w:val="en-US" w:eastAsia="zh-CN"/>
        </w:rPr>
        <w:t>个月后第一周进行中验，设备运行</w:t>
      </w:r>
      <w:r>
        <w:rPr>
          <w:rFonts w:hint="eastAsia" w:ascii="宋体" w:hAnsi="宋体" w:cs="宋体"/>
          <w:b w:val="0"/>
          <w:bCs w:val="0"/>
          <w:sz w:val="24"/>
          <w:szCs w:val="24"/>
          <w:highlight w:val="none"/>
          <w:u w:val="single"/>
          <w:lang w:val="en-US" w:eastAsia="zh-CN"/>
        </w:rPr>
        <w:t xml:space="preserve">   </w:t>
      </w:r>
      <w:r>
        <w:rPr>
          <w:rFonts w:hint="eastAsia" w:ascii="宋体" w:hAnsi="宋体" w:cs="宋体"/>
          <w:b w:val="0"/>
          <w:bCs w:val="0"/>
          <w:sz w:val="24"/>
          <w:szCs w:val="24"/>
          <w:highlight w:val="none"/>
          <w:u w:val="none"/>
          <w:lang w:val="en-US" w:eastAsia="zh-CN"/>
        </w:rPr>
        <w:t>个月后第一周进行终验，并共同在《政府采购项目验收单》上签字确认。</w:t>
      </w:r>
    </w:p>
    <w:p>
      <w:pPr>
        <w:numPr>
          <w:ilvl w:val="0"/>
          <w:numId w:val="33"/>
        </w:numPr>
        <w:jc w:val="both"/>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对货物的质量问题，甲方应在实际发现之日起</w:t>
      </w:r>
      <w:r>
        <w:rPr>
          <w:rFonts w:hint="eastAsia" w:ascii="宋体" w:hAnsi="宋体" w:cs="宋体"/>
          <w:b w:val="0"/>
          <w:bCs w:val="0"/>
          <w:sz w:val="24"/>
          <w:szCs w:val="24"/>
          <w:highlight w:val="none"/>
          <w:u w:val="single"/>
          <w:lang w:val="en-US" w:eastAsia="zh-CN"/>
        </w:rPr>
        <w:t xml:space="preserve">     </w:t>
      </w:r>
      <w:r>
        <w:rPr>
          <w:rFonts w:hint="eastAsia" w:ascii="宋体" w:hAnsi="宋体" w:cs="宋体"/>
          <w:b w:val="0"/>
          <w:bCs w:val="0"/>
          <w:sz w:val="24"/>
          <w:szCs w:val="24"/>
          <w:highlight w:val="none"/>
          <w:u w:val="none"/>
          <w:lang w:val="en-US" w:eastAsia="zh-CN"/>
        </w:rPr>
        <w:t>日内向乙方主张权利。</w:t>
      </w:r>
    </w:p>
    <w:p>
      <w:pPr>
        <w:numPr>
          <w:ilvl w:val="0"/>
          <w:numId w:val="34"/>
        </w:numPr>
        <w:jc w:val="both"/>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售后服务</w:t>
      </w:r>
    </w:p>
    <w:p>
      <w:pPr>
        <w:numPr>
          <w:ilvl w:val="0"/>
          <w:numId w:val="35"/>
        </w:numPr>
        <w:jc w:val="both"/>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乙方应按采购文件、投标文件及乙方在询标过程中做出的书面说明或承诺提供及时、快速、优质的售后服务。</w:t>
      </w:r>
    </w:p>
    <w:p>
      <w:pPr>
        <w:numPr>
          <w:ilvl w:val="0"/>
          <w:numId w:val="35"/>
        </w:numPr>
        <w:jc w:val="both"/>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其他售后服务内容：</w:t>
      </w:r>
    </w:p>
    <w:p>
      <w:pPr>
        <w:numPr>
          <w:numId w:val="0"/>
        </w:numPr>
        <w:jc w:val="both"/>
        <w:rPr>
          <w:rFonts w:hint="eastAsia" w:ascii="宋体" w:hAnsi="宋体" w:cs="宋体"/>
          <w:b w:val="0"/>
          <w:bCs w:val="0"/>
          <w:sz w:val="24"/>
          <w:szCs w:val="24"/>
          <w:highlight w:val="none"/>
          <w:u w:val="single"/>
          <w:lang w:val="en-US" w:eastAsia="zh-CN"/>
        </w:rPr>
      </w:pPr>
      <w:r>
        <w:rPr>
          <w:rFonts w:hint="eastAsia" w:ascii="宋体" w:hAnsi="宋体" w:cs="宋体"/>
          <w:b w:val="0"/>
          <w:bCs w:val="0"/>
          <w:sz w:val="24"/>
          <w:szCs w:val="24"/>
          <w:highlight w:val="none"/>
          <w:u w:val="single"/>
          <w:lang w:val="en-US" w:eastAsia="zh-CN"/>
        </w:rPr>
        <w:t xml:space="preserve">                                                                   </w:t>
      </w:r>
    </w:p>
    <w:p>
      <w:pPr>
        <w:numPr>
          <w:numId w:val="0"/>
        </w:numPr>
        <w:jc w:val="both"/>
        <w:rPr>
          <w:rFonts w:hint="eastAsia" w:ascii="宋体" w:hAnsi="宋体" w:cs="宋体"/>
          <w:b w:val="0"/>
          <w:bCs w:val="0"/>
          <w:sz w:val="24"/>
          <w:szCs w:val="24"/>
          <w:highlight w:val="none"/>
          <w:u w:val="single"/>
          <w:lang w:val="en-US" w:eastAsia="zh-CN"/>
        </w:rPr>
      </w:pPr>
    </w:p>
    <w:p>
      <w:pPr>
        <w:numPr>
          <w:numId w:val="0"/>
        </w:numPr>
        <w:jc w:val="both"/>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single"/>
          <w:lang w:val="en-US" w:eastAsia="zh-CN"/>
        </w:rPr>
        <w:t xml:space="preserve">                                                                   </w:t>
      </w:r>
    </w:p>
    <w:p>
      <w:pPr>
        <w:numPr>
          <w:ilvl w:val="0"/>
          <w:numId w:val="36"/>
        </w:numPr>
        <w:jc w:val="both"/>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合同生效</w:t>
      </w:r>
    </w:p>
    <w:p>
      <w:pPr>
        <w:numPr>
          <w:numId w:val="0"/>
        </w:numPr>
        <w:jc w:val="both"/>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 xml:space="preserve">     本合同为附条件生效合同，除甲乙双方签章，还应满足以下条件时合同生效：</w:t>
      </w:r>
    </w:p>
    <w:p>
      <w:pPr>
        <w:numPr>
          <w:numId w:val="0"/>
        </w:numPr>
        <w:jc w:val="both"/>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 xml:space="preserve">     本合同乙方应提交：履约保证金、中标服务费及公证费。</w:t>
      </w:r>
    </w:p>
    <w:p>
      <w:pPr>
        <w:numPr>
          <w:ilvl w:val="0"/>
          <w:numId w:val="36"/>
        </w:numPr>
        <w:jc w:val="both"/>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违约条款</w:t>
      </w:r>
    </w:p>
    <w:p>
      <w:pPr>
        <w:numPr>
          <w:ilvl w:val="0"/>
          <w:numId w:val="37"/>
        </w:numPr>
        <w:jc w:val="both"/>
        <w:rPr>
          <w:rFonts w:hint="eastAsia" w:ascii="Arial" w:hAnsi="Arial" w:cs="Arial"/>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甲方如逾期付款、每逾期1日，按应付金额0.3</w:t>
      </w:r>
      <w:r>
        <w:rPr>
          <w:rFonts w:hint="default" w:ascii="Arial" w:hAnsi="Arial" w:cs="Arial"/>
          <w:b w:val="0"/>
          <w:bCs w:val="0"/>
          <w:sz w:val="24"/>
          <w:szCs w:val="24"/>
          <w:highlight w:val="none"/>
          <w:u w:val="none"/>
          <w:lang w:val="en-US" w:eastAsia="zh-CN"/>
        </w:rPr>
        <w:t>‰</w:t>
      </w:r>
      <w:r>
        <w:rPr>
          <w:rFonts w:hint="eastAsia" w:ascii="Arial" w:hAnsi="Arial" w:cs="Arial"/>
          <w:b w:val="0"/>
          <w:bCs w:val="0"/>
          <w:sz w:val="24"/>
          <w:szCs w:val="24"/>
          <w:highlight w:val="none"/>
          <w:u w:val="none"/>
          <w:lang w:val="en-US" w:eastAsia="zh-CN"/>
        </w:rPr>
        <w:t>支付违约金。</w:t>
      </w:r>
    </w:p>
    <w:p>
      <w:pPr>
        <w:numPr>
          <w:ilvl w:val="0"/>
          <w:numId w:val="37"/>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甲方延迟验收货物，延迟验收期间发生的费用由甲方承担赔偿责任。</w:t>
      </w:r>
    </w:p>
    <w:p>
      <w:pPr>
        <w:numPr>
          <w:ilvl w:val="0"/>
          <w:numId w:val="37"/>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乙方延迟交货，每延迟1日，按应交付货物总额</w:t>
      </w:r>
      <w:r>
        <w:rPr>
          <w:rFonts w:hint="eastAsia" w:ascii="宋体" w:hAnsi="宋体" w:cs="宋体"/>
          <w:b w:val="0"/>
          <w:bCs w:val="0"/>
          <w:sz w:val="24"/>
          <w:szCs w:val="24"/>
          <w:highlight w:val="none"/>
          <w:u w:val="none"/>
          <w:lang w:val="en-US" w:eastAsia="zh-CN"/>
        </w:rPr>
        <w:t>0.3</w:t>
      </w:r>
      <w:r>
        <w:rPr>
          <w:rFonts w:hint="default" w:ascii="Arial" w:hAnsi="Arial" w:cs="Arial"/>
          <w:b w:val="0"/>
          <w:bCs w:val="0"/>
          <w:sz w:val="24"/>
          <w:szCs w:val="24"/>
          <w:highlight w:val="none"/>
          <w:u w:val="none"/>
          <w:lang w:val="en-US" w:eastAsia="zh-CN"/>
        </w:rPr>
        <w:t>‰</w:t>
      </w:r>
      <w:r>
        <w:rPr>
          <w:rFonts w:hint="eastAsia" w:ascii="Arial" w:hAnsi="Arial" w:cs="Arial"/>
          <w:b w:val="0"/>
          <w:bCs w:val="0"/>
          <w:sz w:val="24"/>
          <w:szCs w:val="24"/>
          <w:highlight w:val="none"/>
          <w:u w:val="none"/>
          <w:lang w:val="en-US" w:eastAsia="zh-CN"/>
        </w:rPr>
        <w:t>支付违约金。</w:t>
      </w:r>
    </w:p>
    <w:p>
      <w:pPr>
        <w:numPr>
          <w:ilvl w:val="0"/>
          <w:numId w:val="37"/>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乙方履行合同不符合规定，除应按合同约定及时调换外，在调换货物期间，应按调换货物金额每日</w:t>
      </w:r>
      <w:r>
        <w:rPr>
          <w:rFonts w:hint="eastAsia" w:ascii="宋体" w:hAnsi="宋体" w:cs="宋体"/>
          <w:b w:val="0"/>
          <w:bCs w:val="0"/>
          <w:sz w:val="24"/>
          <w:szCs w:val="24"/>
          <w:highlight w:val="none"/>
          <w:u w:val="none"/>
          <w:lang w:val="en-US" w:eastAsia="zh-CN"/>
        </w:rPr>
        <w:t>0.3</w:t>
      </w:r>
      <w:r>
        <w:rPr>
          <w:rFonts w:hint="default" w:ascii="Arial" w:hAnsi="Arial" w:cs="Arial"/>
          <w:b w:val="0"/>
          <w:bCs w:val="0"/>
          <w:sz w:val="24"/>
          <w:szCs w:val="24"/>
          <w:highlight w:val="none"/>
          <w:u w:val="none"/>
          <w:lang w:val="en-US" w:eastAsia="zh-CN"/>
        </w:rPr>
        <w:t>‰</w:t>
      </w:r>
      <w:r>
        <w:rPr>
          <w:rFonts w:hint="eastAsia" w:ascii="Arial" w:hAnsi="Arial" w:cs="Arial"/>
          <w:b w:val="0"/>
          <w:bCs w:val="0"/>
          <w:sz w:val="24"/>
          <w:szCs w:val="24"/>
          <w:highlight w:val="none"/>
          <w:u w:val="none"/>
          <w:lang w:val="en-US" w:eastAsia="zh-CN"/>
        </w:rPr>
        <w:t>向甲方支付违约金。</w:t>
      </w:r>
    </w:p>
    <w:p>
      <w:pPr>
        <w:numPr>
          <w:ilvl w:val="0"/>
          <w:numId w:val="37"/>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一方不按期履行合同，并经另一方提示后30内仍不履行合同，守约方有权解除合同，违约方要承相应的赔偿责任。</w:t>
      </w:r>
    </w:p>
    <w:p>
      <w:pPr>
        <w:numPr>
          <w:numId w:val="0"/>
        </w:numPr>
        <w:ind w:firstLine="480"/>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如乙方违约，甲方有权扣除乙方履约保证金，履约保证金不足部分，甲方保留追索的权利。如甲方违约，甲方应将履约保证金退给乙方。</w:t>
      </w:r>
    </w:p>
    <w:p>
      <w:pPr>
        <w:numPr>
          <w:ilvl w:val="0"/>
          <w:numId w:val="37"/>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如因一方违约，双方未能赔偿损失达成协议，引起诉讼或仲裁时，违约方除应赔偿对方经济损失外，还应承担对方因诉讼或仲裁所支付的律师代理费等相关费用。</w:t>
      </w:r>
    </w:p>
    <w:p>
      <w:pPr>
        <w:numPr>
          <w:ilvl w:val="0"/>
          <w:numId w:val="37"/>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其他应承担的违约责任，以《中华人民共和国合同法》和其他有关法律、法规规定为准，无相关规定的，双方协商解决。</w:t>
      </w:r>
    </w:p>
    <w:p>
      <w:pPr>
        <w:numPr>
          <w:ilvl w:val="0"/>
          <w:numId w:val="37"/>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按照本合同规定应该偿付的违约金、赔偿金等，应当在明确责任后    日内，按银行规定或双方商定的结算办法付清，否则按逾期付款处理。</w:t>
      </w:r>
    </w:p>
    <w:p>
      <w:pPr>
        <w:numPr>
          <w:ilvl w:val="0"/>
          <w:numId w:val="38"/>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不可抗力条款</w:t>
      </w:r>
    </w:p>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因不可抗力致使一方不能及时或完全履行合同的，应及时通知政府采购监督管理办公室、采购代理机构及另一方，双方互不承担责任，并在15天内提供有关不可抗力的相应证明。</w:t>
      </w:r>
    </w:p>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合同未履行部分是否继续履行、如何履行等问题，可由双方协商解决。</w:t>
      </w:r>
    </w:p>
    <w:p>
      <w:pPr>
        <w:numPr>
          <w:ilvl w:val="0"/>
          <w:numId w:val="38"/>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争议的解决方式</w:t>
      </w:r>
    </w:p>
    <w:p>
      <w:pPr>
        <w:numPr>
          <w:numId w:val="0"/>
        </w:numPr>
        <w:ind w:firstLine="480"/>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合同发生纠纷时，双方应协商解决，协商不成可以采用下列方式解决：</w:t>
      </w:r>
    </w:p>
    <w:p>
      <w:pPr>
        <w:numPr>
          <w:ilvl w:val="0"/>
          <w:numId w:val="39"/>
        </w:numPr>
        <w:ind w:firstLine="480"/>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提交临沂市仲裁委员会仲裁；</w:t>
      </w:r>
    </w:p>
    <w:p>
      <w:pPr>
        <w:numPr>
          <w:numId w:val="0"/>
        </w:numPr>
        <w:ind w:firstLine="480"/>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（2）向临沂市人民法院起诉。</w:t>
      </w:r>
    </w:p>
    <w:p>
      <w:pPr>
        <w:numPr>
          <w:numId w:val="0"/>
        </w:numPr>
        <w:ind w:firstLine="480"/>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本合同发生纠纷，经双方协商不能解决时，采用第   中方式予以解决。</w:t>
      </w:r>
    </w:p>
    <w:p>
      <w:pPr>
        <w:numPr>
          <w:ilvl w:val="0"/>
          <w:numId w:val="38"/>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补充协议</w:t>
      </w:r>
    </w:p>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合同未尽事宜，经双方协商可签订补充协议，所签订的补充协议与本合同具有同等法律效力，补充协议的生效符合本合同第十二条的规定。合同补充条款应同时报    财政局、采购代理机构备案。</w:t>
      </w:r>
    </w:p>
    <w:p>
      <w:pPr>
        <w:numPr>
          <w:ilvl w:val="0"/>
          <w:numId w:val="38"/>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其他</w:t>
      </w:r>
    </w:p>
    <w:p>
      <w:pPr>
        <w:numPr>
          <w:ilvl w:val="0"/>
          <w:numId w:val="4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甲方在授予合同时有权再对采购文件中规定的货物数量和服务予以增加或减少，乙方不改变报价单价。</w:t>
      </w:r>
    </w:p>
    <w:p>
      <w:pPr>
        <w:numPr>
          <w:ilvl w:val="0"/>
          <w:numId w:val="4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合同生效后，甲方如因实际使用需要增加已供设备数量时，乙方提供应不高于中标时的单价。</w:t>
      </w:r>
    </w:p>
    <w:p>
      <w:pPr>
        <w:numPr>
          <w:ilvl w:val="0"/>
          <w:numId w:val="41"/>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合同保存</w:t>
      </w:r>
    </w:p>
    <w:p>
      <w:pPr>
        <w:numPr>
          <w:ilvl w:val="0"/>
          <w:numId w:val="41"/>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本合同一式四份，甲方1份，乙方1份，政府采购监督管理办公室1份，采购代理机构1份。</w:t>
      </w: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甲方：                                        乙方：</w:t>
      </w:r>
    </w:p>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盖章                                          盖章</w:t>
      </w:r>
    </w:p>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全权代表：（签字或盖章）                      全权代表：（签字或盖章）</w:t>
      </w:r>
    </w:p>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地    址：                                    地    址：</w:t>
      </w:r>
    </w:p>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邮政编码：                                    邮政编码：</w:t>
      </w:r>
    </w:p>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电    话：                                    电    话：</w:t>
      </w:r>
    </w:p>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开户单位：                                    开户单位：</w:t>
      </w:r>
    </w:p>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开户银行：                                    开户银行：</w:t>
      </w:r>
    </w:p>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账    号：                                    账    号：</w:t>
      </w:r>
    </w:p>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电    话：                                    电    话：</w:t>
      </w:r>
    </w:p>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本合同签订时间：                              本合同签订时间：</w:t>
      </w: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ilvl w:val="0"/>
          <w:numId w:val="42"/>
        </w:numPr>
        <w:jc w:val="center"/>
        <w:rPr>
          <w:rFonts w:hint="eastAsia" w:ascii="Arial" w:hAnsi="Arial" w:cs="Arial"/>
          <w:b/>
          <w:bCs/>
          <w:sz w:val="32"/>
          <w:szCs w:val="32"/>
          <w:highlight w:val="none"/>
          <w:u w:val="none"/>
          <w:lang w:val="en-US" w:eastAsia="zh-CN"/>
        </w:rPr>
      </w:pPr>
      <w:r>
        <w:rPr>
          <w:rFonts w:hint="eastAsia" w:ascii="Arial" w:hAnsi="Arial" w:cs="Arial"/>
          <w:b/>
          <w:bCs/>
          <w:sz w:val="32"/>
          <w:szCs w:val="32"/>
          <w:highlight w:val="none"/>
          <w:u w:val="none"/>
          <w:lang w:val="en-US" w:eastAsia="zh-CN"/>
        </w:rPr>
        <w:t>附件</w:t>
      </w:r>
    </w:p>
    <w:p>
      <w:pPr>
        <w:numPr>
          <w:numId w:val="0"/>
        </w:numPr>
        <w:jc w:val="both"/>
        <w:rPr>
          <w:rFonts w:hint="eastAsia" w:ascii="Arial" w:hAnsi="Arial" w:cs="Arial"/>
          <w:b/>
          <w:bCs/>
          <w:sz w:val="24"/>
          <w:szCs w:val="24"/>
          <w:highlight w:val="none"/>
          <w:u w:val="none"/>
          <w:lang w:val="en-US" w:eastAsia="zh-CN"/>
        </w:rPr>
      </w:pPr>
      <w:r>
        <w:rPr>
          <w:rFonts w:hint="eastAsia" w:ascii="Arial" w:hAnsi="Arial" w:cs="Arial"/>
          <w:b/>
          <w:bCs/>
          <w:sz w:val="24"/>
          <w:szCs w:val="24"/>
          <w:highlight w:val="none"/>
          <w:u w:val="none"/>
          <w:lang w:val="en-US" w:eastAsia="zh-CN"/>
        </w:rPr>
        <w:t xml:space="preserve">附件1 </w:t>
      </w:r>
    </w:p>
    <w:p>
      <w:pPr>
        <w:numPr>
          <w:numId w:val="0"/>
        </w:numPr>
        <w:spacing w:line="360" w:lineRule="auto"/>
        <w:jc w:val="center"/>
        <w:rPr>
          <w:rFonts w:hint="eastAsia" w:ascii="Arial" w:hAnsi="Arial" w:cs="Arial"/>
          <w:b/>
          <w:bCs/>
          <w:sz w:val="24"/>
          <w:szCs w:val="24"/>
          <w:highlight w:val="none"/>
          <w:u w:val="none"/>
          <w:lang w:val="en-US" w:eastAsia="zh-CN"/>
        </w:rPr>
      </w:pPr>
      <w:r>
        <w:rPr>
          <w:rFonts w:hint="eastAsia" w:ascii="Arial" w:hAnsi="Arial" w:cs="Arial"/>
          <w:b/>
          <w:bCs/>
          <w:sz w:val="24"/>
          <w:szCs w:val="24"/>
          <w:highlight w:val="none"/>
          <w:u w:val="none"/>
          <w:lang w:val="en-US" w:eastAsia="zh-CN"/>
        </w:rPr>
        <w:t>投标函</w:t>
      </w: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山东省建设工程招标中心有限公司;</w:t>
      </w: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经研究，我方决定参加</w:t>
      </w:r>
      <w:r>
        <w:rPr>
          <w:rFonts w:hint="eastAsia" w:ascii="Arial" w:hAnsi="Arial" w:cs="Arial"/>
          <w:b w:val="0"/>
          <w:bCs w:val="0"/>
          <w:sz w:val="24"/>
          <w:szCs w:val="24"/>
          <w:highlight w:val="none"/>
          <w:u w:val="single"/>
          <w:lang w:val="en-US" w:eastAsia="zh-CN"/>
        </w:rPr>
        <w:t xml:space="preserve">               </w:t>
      </w:r>
      <w:r>
        <w:rPr>
          <w:rFonts w:hint="eastAsia" w:ascii="Arial" w:hAnsi="Arial" w:cs="Arial"/>
          <w:b w:val="0"/>
          <w:bCs w:val="0"/>
          <w:sz w:val="24"/>
          <w:szCs w:val="24"/>
          <w:highlight w:val="none"/>
          <w:u w:val="none"/>
          <w:lang w:val="en-US" w:eastAsia="zh-CN"/>
        </w:rPr>
        <w:t>项目(项目编号：</w:t>
      </w:r>
      <w:r>
        <w:rPr>
          <w:rFonts w:hint="eastAsia" w:ascii="Arial" w:hAnsi="Arial" w:cs="Arial"/>
          <w:b w:val="0"/>
          <w:bCs w:val="0"/>
          <w:sz w:val="24"/>
          <w:szCs w:val="24"/>
          <w:highlight w:val="none"/>
          <w:u w:val="single"/>
          <w:lang w:val="en-US" w:eastAsia="zh-CN"/>
        </w:rPr>
        <w:t xml:space="preserve">           </w:t>
      </w:r>
      <w:r>
        <w:rPr>
          <w:rFonts w:hint="eastAsia" w:ascii="Arial" w:hAnsi="Arial" w:cs="Arial"/>
          <w:b w:val="0"/>
          <w:bCs w:val="0"/>
          <w:sz w:val="24"/>
          <w:szCs w:val="24"/>
          <w:highlight w:val="none"/>
          <w:u w:val="none"/>
          <w:lang w:val="en-US" w:eastAsia="zh-CN"/>
        </w:rPr>
        <w:t>）的公开招标活动并提交投标文件。为此，我方郑重声明以下诸点，并负法律责任：</w:t>
      </w:r>
    </w:p>
    <w:p>
      <w:pPr>
        <w:numPr>
          <w:ilvl w:val="0"/>
          <w:numId w:val="43"/>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我方完全理解和接受采购文件的一切规定和要求，按规定提交投标文件数量。</w:t>
      </w:r>
    </w:p>
    <w:p>
      <w:pPr>
        <w:numPr>
          <w:ilvl w:val="0"/>
          <w:numId w:val="43"/>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如果我方的投标文件被接受，我方将履行采购文件中规定的每一项要求，并按我方投标文件中的承诺，保证按期完成项目的实施。</w:t>
      </w:r>
    </w:p>
    <w:p>
      <w:pPr>
        <w:numPr>
          <w:ilvl w:val="0"/>
          <w:numId w:val="43"/>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我方理解，最低报价不是中标的唯一条件，你们有选择成交人的权利。</w:t>
      </w:r>
    </w:p>
    <w:p>
      <w:pPr>
        <w:numPr>
          <w:ilvl w:val="0"/>
          <w:numId w:val="43"/>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我方愿按《中华人民共和国合同法》履行自己的全部责任。</w:t>
      </w:r>
    </w:p>
    <w:p>
      <w:pPr>
        <w:numPr>
          <w:ilvl w:val="0"/>
          <w:numId w:val="43"/>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我方同意按采购文件要求交纳投标保证金，遵守贵机构对本次项目所作的有关规定。</w:t>
      </w:r>
    </w:p>
    <w:p>
      <w:pPr>
        <w:numPr>
          <w:ilvl w:val="0"/>
          <w:numId w:val="43"/>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我方投标文件的有效期为投标截止时间起90日。</w:t>
      </w:r>
    </w:p>
    <w:p>
      <w:pPr>
        <w:numPr>
          <w:ilvl w:val="0"/>
          <w:numId w:val="43"/>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我方若为成交人，贵机构有权不作任何解释。</w:t>
      </w:r>
    </w:p>
    <w:p>
      <w:pPr>
        <w:numPr>
          <w:ilvl w:val="0"/>
          <w:numId w:val="43"/>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我方与本次投标有关的一切正式往来通讯请寄：</w:t>
      </w: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地址：</w:t>
      </w: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邮政编号;</w:t>
      </w: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电话：</w:t>
      </w: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传真：</w:t>
      </w: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开户单位：</w:t>
      </w: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开户银行：</w:t>
      </w: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账号：</w:t>
      </w: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投标人全权代表姓名、职务：</w:t>
      </w: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投标人全程（公章）：</w:t>
      </w: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法定代表人签字：</w:t>
      </w: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bCs/>
          <w:sz w:val="24"/>
          <w:szCs w:val="24"/>
          <w:highlight w:val="none"/>
          <w:u w:val="none"/>
          <w:lang w:val="en-US" w:eastAsia="zh-CN"/>
        </w:rPr>
        <w:t>附件2</w:t>
      </w:r>
      <w:r>
        <w:rPr>
          <w:rFonts w:hint="eastAsia" w:ascii="Arial" w:hAnsi="Arial" w:cs="Arial"/>
          <w:b w:val="0"/>
          <w:bCs w:val="0"/>
          <w:sz w:val="24"/>
          <w:szCs w:val="24"/>
          <w:highlight w:val="none"/>
          <w:u w:val="none"/>
          <w:lang w:val="en-US" w:eastAsia="zh-CN"/>
        </w:rPr>
        <w:t xml:space="preserve">  法定代表人授权委托书</w:t>
      </w:r>
    </w:p>
    <w:p>
      <w:pPr>
        <w:numPr>
          <w:numId w:val="0"/>
        </w:numPr>
        <w:jc w:val="both"/>
        <w:rPr>
          <w:rFonts w:hint="eastAsia" w:ascii="Arial" w:hAnsi="Arial" w:cs="Arial"/>
          <w:b/>
          <w:bCs/>
          <w:sz w:val="24"/>
          <w:szCs w:val="24"/>
          <w:highlight w:val="none"/>
          <w:u w:val="none"/>
          <w:lang w:val="en-US" w:eastAsia="zh-CN"/>
        </w:rPr>
      </w:pPr>
      <w:r>
        <w:rPr>
          <w:rFonts w:hint="eastAsia" w:ascii="Arial" w:hAnsi="Arial" w:cs="Arial"/>
          <w:b w:val="0"/>
          <w:bCs w:val="0"/>
          <w:sz w:val="24"/>
          <w:szCs w:val="24"/>
          <w:highlight w:val="none"/>
          <w:u w:val="none"/>
          <w:lang w:val="en-US" w:eastAsia="zh-CN"/>
        </w:rPr>
        <w:t xml:space="preserve">  </w:t>
      </w:r>
    </w:p>
    <w:p>
      <w:pPr>
        <w:numPr>
          <w:numId w:val="0"/>
        </w:numPr>
        <w:jc w:val="center"/>
        <w:rPr>
          <w:rFonts w:hint="eastAsia" w:ascii="Arial" w:hAnsi="Arial" w:cs="Arial"/>
          <w:b/>
          <w:bCs/>
          <w:sz w:val="24"/>
          <w:szCs w:val="24"/>
          <w:highlight w:val="none"/>
          <w:u w:val="none"/>
          <w:lang w:val="en-US" w:eastAsia="zh-CN"/>
        </w:rPr>
      </w:pPr>
      <w:r>
        <w:rPr>
          <w:rFonts w:hint="eastAsia" w:ascii="Arial" w:hAnsi="Arial" w:cs="Arial"/>
          <w:b/>
          <w:bCs/>
          <w:sz w:val="24"/>
          <w:szCs w:val="24"/>
          <w:highlight w:val="none"/>
          <w:u w:val="none"/>
          <w:lang w:val="en-US" w:eastAsia="zh-CN"/>
        </w:rPr>
        <w:t>法定代表人授权委托书</w:t>
      </w:r>
    </w:p>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 xml:space="preserve">    </w:t>
      </w: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 xml:space="preserve">    本授权书声明：我  </w:t>
      </w:r>
      <w:r>
        <w:rPr>
          <w:rFonts w:hint="eastAsia" w:ascii="Arial" w:hAnsi="Arial" w:cs="Arial"/>
          <w:b w:val="0"/>
          <w:bCs w:val="0"/>
          <w:sz w:val="24"/>
          <w:szCs w:val="24"/>
          <w:highlight w:val="none"/>
          <w:u w:val="single"/>
          <w:lang w:val="en-US" w:eastAsia="zh-CN"/>
        </w:rPr>
        <w:t xml:space="preserve">（姓名） </w:t>
      </w:r>
      <w:r>
        <w:rPr>
          <w:rFonts w:hint="eastAsia" w:ascii="Arial" w:hAnsi="Arial" w:cs="Arial"/>
          <w:b w:val="0"/>
          <w:bCs w:val="0"/>
          <w:sz w:val="24"/>
          <w:szCs w:val="24"/>
          <w:highlight w:val="none"/>
          <w:u w:val="none"/>
          <w:lang w:val="en-US" w:eastAsia="zh-CN"/>
        </w:rPr>
        <w:t xml:space="preserve">系 </w:t>
      </w:r>
      <w:r>
        <w:rPr>
          <w:rFonts w:hint="eastAsia" w:ascii="Arial" w:hAnsi="Arial" w:cs="Arial"/>
          <w:b w:val="0"/>
          <w:bCs w:val="0"/>
          <w:sz w:val="24"/>
          <w:szCs w:val="24"/>
          <w:highlight w:val="none"/>
          <w:u w:val="single"/>
          <w:lang w:val="en-US" w:eastAsia="zh-CN"/>
        </w:rPr>
        <w:t xml:space="preserve">（投标人名称） </w:t>
      </w:r>
      <w:r>
        <w:rPr>
          <w:rFonts w:hint="eastAsia" w:ascii="Arial" w:hAnsi="Arial" w:cs="Arial"/>
          <w:b w:val="0"/>
          <w:bCs w:val="0"/>
          <w:sz w:val="24"/>
          <w:szCs w:val="24"/>
          <w:highlight w:val="none"/>
          <w:u w:val="none"/>
          <w:lang w:val="en-US" w:eastAsia="zh-CN"/>
        </w:rPr>
        <w:t>法定代表人，现授权委托</w:t>
      </w:r>
      <w:r>
        <w:rPr>
          <w:rFonts w:hint="eastAsia" w:ascii="Arial" w:hAnsi="Arial" w:cs="Arial"/>
          <w:b w:val="0"/>
          <w:bCs w:val="0"/>
          <w:sz w:val="24"/>
          <w:szCs w:val="24"/>
          <w:highlight w:val="none"/>
          <w:u w:val="single"/>
          <w:lang w:val="en-US" w:eastAsia="zh-CN"/>
        </w:rPr>
        <w:t>（姓名、职务或职称）</w:t>
      </w:r>
      <w:r>
        <w:rPr>
          <w:rFonts w:hint="eastAsia" w:ascii="Arial" w:hAnsi="Arial" w:cs="Arial"/>
          <w:b w:val="0"/>
          <w:bCs w:val="0"/>
          <w:sz w:val="24"/>
          <w:szCs w:val="24"/>
          <w:highlight w:val="none"/>
          <w:u w:val="none"/>
          <w:lang w:val="en-US" w:eastAsia="zh-CN"/>
        </w:rPr>
        <w:t>为我单位本次项目的全权代表，以本单位的名义参加</w:t>
      </w:r>
      <w:r>
        <w:rPr>
          <w:rFonts w:hint="eastAsia" w:ascii="Arial" w:hAnsi="Arial" w:cs="Arial"/>
          <w:b w:val="0"/>
          <w:bCs w:val="0"/>
          <w:sz w:val="24"/>
          <w:szCs w:val="24"/>
          <w:highlight w:val="none"/>
          <w:u w:val="single"/>
          <w:lang w:val="en-US" w:eastAsia="zh-CN"/>
        </w:rPr>
        <w:t xml:space="preserve">    </w:t>
      </w:r>
      <w:r>
        <w:rPr>
          <w:rFonts w:hint="eastAsia" w:ascii="Arial" w:hAnsi="Arial" w:cs="Arial"/>
          <w:b w:val="0"/>
          <w:bCs w:val="0"/>
          <w:sz w:val="24"/>
          <w:szCs w:val="24"/>
          <w:highlight w:val="none"/>
          <w:u w:val="none"/>
          <w:lang w:val="en-US" w:eastAsia="zh-CN"/>
        </w:rPr>
        <w:t>组织的招标活动，全权代表在参加</w:t>
      </w:r>
      <w:r>
        <w:rPr>
          <w:rFonts w:hint="eastAsia" w:ascii="Arial" w:hAnsi="Arial" w:cs="Arial"/>
          <w:b w:val="0"/>
          <w:bCs w:val="0"/>
          <w:sz w:val="24"/>
          <w:szCs w:val="24"/>
          <w:highlight w:val="none"/>
          <w:u w:val="single"/>
          <w:lang w:val="en-US" w:eastAsia="zh-CN"/>
        </w:rPr>
        <w:t xml:space="preserve">                 </w:t>
      </w:r>
      <w:r>
        <w:rPr>
          <w:rFonts w:hint="eastAsia" w:ascii="Arial" w:hAnsi="Arial" w:cs="Arial"/>
          <w:b w:val="0"/>
          <w:bCs w:val="0"/>
          <w:sz w:val="24"/>
          <w:szCs w:val="24"/>
          <w:highlight w:val="none"/>
          <w:u w:val="none"/>
          <w:lang w:val="en-US" w:eastAsia="zh-CN"/>
        </w:rPr>
        <w:t>项目（项目编号：</w:t>
      </w:r>
      <w:r>
        <w:rPr>
          <w:rFonts w:hint="eastAsia" w:ascii="Arial" w:hAnsi="Arial" w:cs="Arial"/>
          <w:b w:val="0"/>
          <w:bCs w:val="0"/>
          <w:sz w:val="24"/>
          <w:szCs w:val="24"/>
          <w:highlight w:val="none"/>
          <w:u w:val="single"/>
          <w:lang w:val="en-US" w:eastAsia="zh-CN"/>
        </w:rPr>
        <w:t xml:space="preserve">          </w:t>
      </w:r>
      <w:r>
        <w:rPr>
          <w:rFonts w:hint="eastAsia" w:ascii="Arial" w:hAnsi="Arial" w:cs="Arial"/>
          <w:b w:val="0"/>
          <w:bCs w:val="0"/>
          <w:sz w:val="24"/>
          <w:szCs w:val="24"/>
          <w:highlight w:val="none"/>
          <w:u w:val="none"/>
          <w:lang w:val="en-US" w:eastAsia="zh-CN"/>
        </w:rPr>
        <w:t>）</w:t>
      </w: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过程中所签署的一切文件和处理与之有关的一切事务，我均以承认。</w:t>
      </w: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全权代表无权转让委托权。特此委托。</w:t>
      </w: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 xml:space="preserve">                  （附贴全权代表人身份证复印件）</w:t>
      </w: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全权代表姓名：                 性别：                   年龄：</w:t>
      </w: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单位：                         部门：                   职务：</w:t>
      </w:r>
    </w:p>
    <w:p>
      <w:pPr>
        <w:numPr>
          <w:numId w:val="0"/>
        </w:numPr>
        <w:spacing w:line="360" w:lineRule="auto"/>
        <w:jc w:val="both"/>
        <w:rPr>
          <w:rFonts w:hint="eastAsia" w:ascii="Arial" w:hAnsi="Arial" w:cs="Arial"/>
          <w:b w:val="0"/>
          <w:bCs w:val="0"/>
          <w:sz w:val="24"/>
          <w:szCs w:val="24"/>
          <w:highlight w:val="none"/>
          <w:u w:val="none"/>
          <w:lang w:val="en-US" w:eastAsia="zh-CN"/>
        </w:rPr>
      </w:pPr>
    </w:p>
    <w:p>
      <w:pPr>
        <w:numPr>
          <w:numId w:val="0"/>
        </w:numPr>
        <w:spacing w:line="360" w:lineRule="auto"/>
        <w:jc w:val="both"/>
        <w:rPr>
          <w:rFonts w:hint="eastAsia" w:ascii="Arial" w:hAnsi="Arial" w:cs="Arial"/>
          <w:b w:val="0"/>
          <w:bCs w:val="0"/>
          <w:sz w:val="24"/>
          <w:szCs w:val="24"/>
          <w:highlight w:val="none"/>
          <w:u w:val="none"/>
          <w:lang w:val="en-US" w:eastAsia="zh-CN"/>
        </w:rPr>
      </w:pPr>
    </w:p>
    <w:p>
      <w:pPr>
        <w:numPr>
          <w:numId w:val="0"/>
        </w:numPr>
        <w:spacing w:line="360" w:lineRule="auto"/>
        <w:jc w:val="both"/>
        <w:rPr>
          <w:rFonts w:hint="eastAsia" w:ascii="Arial" w:hAnsi="Arial" w:cs="Arial"/>
          <w:b w:val="0"/>
          <w:bCs w:val="0"/>
          <w:sz w:val="24"/>
          <w:szCs w:val="24"/>
          <w:highlight w:val="none"/>
          <w:u w:val="none"/>
          <w:lang w:val="en-US" w:eastAsia="zh-CN"/>
        </w:rPr>
      </w:pPr>
    </w:p>
    <w:p>
      <w:pPr>
        <w:numPr>
          <w:numId w:val="0"/>
        </w:numPr>
        <w:spacing w:line="360" w:lineRule="auto"/>
        <w:jc w:val="both"/>
        <w:rPr>
          <w:rFonts w:hint="eastAsia" w:ascii="Arial" w:hAnsi="Arial" w:cs="Arial"/>
          <w:b w:val="0"/>
          <w:bCs w:val="0"/>
          <w:sz w:val="24"/>
          <w:szCs w:val="24"/>
          <w:highlight w:val="none"/>
          <w:u w:val="none"/>
          <w:lang w:val="en-US" w:eastAsia="zh-CN"/>
        </w:rPr>
      </w:pPr>
    </w:p>
    <w:p>
      <w:pPr>
        <w:numPr>
          <w:numId w:val="0"/>
        </w:numPr>
        <w:spacing w:line="360" w:lineRule="auto"/>
        <w:jc w:val="both"/>
        <w:rPr>
          <w:rFonts w:hint="eastAsia" w:ascii="Arial" w:hAnsi="Arial" w:cs="Arial"/>
          <w:b w:val="0"/>
          <w:bCs w:val="0"/>
          <w:sz w:val="24"/>
          <w:szCs w:val="24"/>
          <w:highlight w:val="none"/>
          <w:u w:val="none"/>
          <w:lang w:val="en-US" w:eastAsia="zh-CN"/>
        </w:rPr>
      </w:pPr>
    </w:p>
    <w:p>
      <w:pPr>
        <w:numPr>
          <w:numId w:val="0"/>
        </w:numPr>
        <w:spacing w:line="360" w:lineRule="auto"/>
        <w:jc w:val="both"/>
        <w:rPr>
          <w:rFonts w:hint="eastAsia" w:ascii="Arial" w:hAnsi="Arial" w:cs="Arial"/>
          <w:b w:val="0"/>
          <w:bCs w:val="0"/>
          <w:sz w:val="24"/>
          <w:szCs w:val="24"/>
          <w:highlight w:val="none"/>
          <w:u w:val="none"/>
          <w:lang w:val="en-US" w:eastAsia="zh-CN"/>
        </w:rPr>
      </w:pP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投标人（公章）：</w:t>
      </w: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法定代表人签字：</w:t>
      </w: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日期：       年     月    日</w:t>
      </w: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bCs/>
          <w:sz w:val="24"/>
          <w:szCs w:val="24"/>
          <w:highlight w:val="none"/>
          <w:u w:val="none"/>
          <w:lang w:val="en-US" w:eastAsia="zh-CN"/>
        </w:rPr>
        <w:br w:type="page"/>
      </w:r>
      <w:r>
        <w:rPr>
          <w:rFonts w:hint="eastAsia" w:ascii="Arial" w:hAnsi="Arial" w:cs="Arial"/>
          <w:b/>
          <w:bCs/>
          <w:sz w:val="24"/>
          <w:szCs w:val="24"/>
          <w:highlight w:val="none"/>
          <w:u w:val="none"/>
          <w:lang w:val="en-US" w:eastAsia="zh-CN"/>
        </w:rPr>
        <w:t xml:space="preserve">附件3 </w:t>
      </w:r>
      <w:r>
        <w:rPr>
          <w:rFonts w:hint="eastAsia" w:ascii="Arial" w:hAnsi="Arial" w:cs="Arial"/>
          <w:b w:val="0"/>
          <w:bCs w:val="0"/>
          <w:sz w:val="24"/>
          <w:szCs w:val="24"/>
          <w:highlight w:val="none"/>
          <w:u w:val="none"/>
          <w:lang w:val="en-US" w:eastAsia="zh-CN"/>
        </w:rPr>
        <w:t xml:space="preserve">    公开报价一览表格式</w:t>
      </w:r>
    </w:p>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 xml:space="preserve"> </w:t>
      </w:r>
    </w:p>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 xml:space="preserve">             </w:t>
      </w:r>
      <w:r>
        <w:rPr>
          <w:rFonts w:hint="eastAsia" w:ascii="Arial" w:hAnsi="Arial" w:cs="Arial"/>
          <w:b w:val="0"/>
          <w:bCs w:val="0"/>
          <w:sz w:val="24"/>
          <w:szCs w:val="24"/>
          <w:highlight w:val="none"/>
          <w:u w:val="single"/>
          <w:lang w:val="en-US" w:eastAsia="zh-CN"/>
        </w:rPr>
        <w:t xml:space="preserve">               </w:t>
      </w:r>
      <w:r>
        <w:rPr>
          <w:rFonts w:hint="eastAsia" w:ascii="Arial" w:hAnsi="Arial" w:cs="Arial"/>
          <w:b w:val="0"/>
          <w:bCs w:val="0"/>
          <w:sz w:val="24"/>
          <w:szCs w:val="24"/>
          <w:highlight w:val="none"/>
          <w:u w:val="none"/>
          <w:lang w:val="en-US" w:eastAsia="zh-CN"/>
        </w:rPr>
        <w:t>公开报价一览表（一式三份单独密封）</w:t>
      </w: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项目名称：</w:t>
      </w:r>
    </w:p>
    <w:tbl>
      <w:tblPr>
        <w:tblW w:w="9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5131"/>
        <w:gridCol w:w="3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1322" w:type="dxa"/>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序号</w:t>
            </w:r>
          </w:p>
        </w:tc>
        <w:tc>
          <w:tcPr>
            <w:tcW w:w="5131" w:type="dxa"/>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 xml:space="preserve">              项目</w:t>
            </w:r>
          </w:p>
        </w:tc>
        <w:tc>
          <w:tcPr>
            <w:tcW w:w="3227" w:type="dxa"/>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 xml:space="preserve">         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trPr>
        <w:tc>
          <w:tcPr>
            <w:tcW w:w="1322" w:type="dxa"/>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1</w:t>
            </w:r>
          </w:p>
        </w:tc>
        <w:tc>
          <w:tcPr>
            <w:tcW w:w="5131"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3227" w:type="dxa"/>
            <w:vAlign w:val="center"/>
          </w:tcPr>
          <w:p>
            <w:pPr>
              <w:numPr>
                <w:numId w:val="0"/>
              </w:numPr>
              <w:jc w:val="both"/>
              <w:rPr>
                <w:rFonts w:hint="eastAsia" w:ascii="Arial" w:hAnsi="Arial" w:cs="Arial"/>
                <w:b w:val="0"/>
                <w:bCs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trPr>
        <w:tc>
          <w:tcPr>
            <w:tcW w:w="1322" w:type="dxa"/>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2</w:t>
            </w:r>
          </w:p>
        </w:tc>
        <w:tc>
          <w:tcPr>
            <w:tcW w:w="5131"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3227" w:type="dxa"/>
            <w:vAlign w:val="center"/>
          </w:tcPr>
          <w:p>
            <w:pPr>
              <w:numPr>
                <w:numId w:val="0"/>
              </w:numPr>
              <w:jc w:val="both"/>
              <w:rPr>
                <w:rFonts w:hint="eastAsia" w:ascii="Arial" w:hAnsi="Arial" w:cs="Arial"/>
                <w:b w:val="0"/>
                <w:bCs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9680" w:type="dxa"/>
            <w:gridSpan w:val="3"/>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总价：大写：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9680" w:type="dxa"/>
            <w:gridSpan w:val="3"/>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完成承诺周期：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5" w:hRule="atLeast"/>
        </w:trPr>
        <w:tc>
          <w:tcPr>
            <w:tcW w:w="9680" w:type="dxa"/>
            <w:gridSpan w:val="3"/>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质保期承诺：</w:t>
            </w:r>
          </w:p>
        </w:tc>
      </w:tr>
    </w:tbl>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注：投标报价单位为人民币元</w:t>
      </w:r>
    </w:p>
    <w:p>
      <w:pPr>
        <w:numPr>
          <w:numId w:val="0"/>
        </w:numPr>
        <w:spacing w:line="360" w:lineRule="auto"/>
        <w:ind w:firstLine="480"/>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投标人：（公章）</w:t>
      </w:r>
    </w:p>
    <w:p>
      <w:pPr>
        <w:numPr>
          <w:numId w:val="0"/>
        </w:numPr>
        <w:spacing w:line="360" w:lineRule="auto"/>
        <w:ind w:firstLine="480"/>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法定代表人或投标人全权代表：（签字或印章）</w:t>
      </w: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 xml:space="preserve">    日   期：   年     月     日</w:t>
      </w: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bCs/>
          <w:sz w:val="24"/>
          <w:szCs w:val="24"/>
          <w:highlight w:val="none"/>
          <w:u w:val="none"/>
          <w:lang w:val="en-US" w:eastAsia="zh-CN"/>
        </w:rPr>
        <w:br w:type="page"/>
      </w:r>
      <w:r>
        <w:rPr>
          <w:rFonts w:hint="eastAsia" w:ascii="Arial" w:hAnsi="Arial" w:cs="Arial"/>
          <w:b/>
          <w:bCs/>
          <w:sz w:val="24"/>
          <w:szCs w:val="24"/>
          <w:highlight w:val="none"/>
          <w:u w:val="none"/>
          <w:lang w:val="en-US" w:eastAsia="zh-CN"/>
        </w:rPr>
        <w:t xml:space="preserve">附件4 </w:t>
      </w:r>
      <w:r>
        <w:rPr>
          <w:rFonts w:hint="eastAsia" w:ascii="Arial" w:hAnsi="Arial" w:cs="Arial"/>
          <w:b w:val="0"/>
          <w:bCs w:val="0"/>
          <w:sz w:val="24"/>
          <w:szCs w:val="24"/>
          <w:highlight w:val="none"/>
          <w:u w:val="none"/>
          <w:lang w:val="en-US" w:eastAsia="zh-CN"/>
        </w:rPr>
        <w:t xml:space="preserve">  投标人基本情况</w:t>
      </w: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 xml:space="preserve">                               投标人基本情况表</w:t>
      </w:r>
    </w:p>
    <w:p>
      <w:pPr>
        <w:numPr>
          <w:numId w:val="0"/>
        </w:numPr>
        <w:jc w:val="both"/>
        <w:rPr>
          <w:rFonts w:hint="eastAsia" w:ascii="Arial" w:hAnsi="Arial" w:cs="Arial"/>
          <w:b w:val="0"/>
          <w:bCs w:val="0"/>
          <w:sz w:val="24"/>
          <w:szCs w:val="24"/>
          <w:highlight w:val="none"/>
          <w:u w:val="none"/>
          <w:lang w:val="en-US" w:eastAsia="zh-CN"/>
        </w:rPr>
      </w:pPr>
    </w:p>
    <w:tbl>
      <w:tblPr>
        <w:tblW w:w="11040"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6"/>
        <w:gridCol w:w="322"/>
        <w:gridCol w:w="2171"/>
        <w:gridCol w:w="271"/>
        <w:gridCol w:w="1638"/>
        <w:gridCol w:w="805"/>
        <w:gridCol w:w="1221"/>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786" w:type="dxa"/>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投标人名称</w:t>
            </w:r>
          </w:p>
        </w:tc>
        <w:tc>
          <w:tcPr>
            <w:tcW w:w="2764" w:type="dxa"/>
            <w:gridSpan w:val="3"/>
            <w:vAlign w:val="center"/>
          </w:tcPr>
          <w:p>
            <w:pPr>
              <w:numPr>
                <w:numId w:val="0"/>
              </w:numPr>
              <w:jc w:val="both"/>
              <w:rPr>
                <w:rFonts w:hint="eastAsia" w:ascii="Arial" w:hAnsi="Arial" w:cs="Arial"/>
                <w:b w:val="0"/>
                <w:bCs w:val="0"/>
                <w:sz w:val="24"/>
                <w:szCs w:val="24"/>
                <w:highlight w:val="none"/>
                <w:u w:val="none"/>
                <w:lang w:val="en-US" w:eastAsia="zh-CN"/>
              </w:rPr>
            </w:pPr>
          </w:p>
        </w:tc>
        <w:tc>
          <w:tcPr>
            <w:tcW w:w="2443" w:type="dxa"/>
            <w:gridSpan w:val="2"/>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主要业务</w:t>
            </w:r>
          </w:p>
        </w:tc>
        <w:tc>
          <w:tcPr>
            <w:tcW w:w="3047" w:type="dxa"/>
            <w:gridSpan w:val="2"/>
            <w:vAlign w:val="center"/>
          </w:tcPr>
          <w:p>
            <w:pPr>
              <w:numPr>
                <w:numId w:val="0"/>
              </w:numPr>
              <w:jc w:val="both"/>
              <w:rPr>
                <w:rFonts w:hint="eastAsia" w:ascii="Arial" w:hAnsi="Arial" w:cs="Arial"/>
                <w:b w:val="0"/>
                <w:bCs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2786" w:type="dxa"/>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注册资金</w:t>
            </w:r>
          </w:p>
        </w:tc>
        <w:tc>
          <w:tcPr>
            <w:tcW w:w="2764" w:type="dxa"/>
            <w:gridSpan w:val="3"/>
            <w:vAlign w:val="center"/>
          </w:tcPr>
          <w:p>
            <w:pPr>
              <w:numPr>
                <w:numId w:val="0"/>
              </w:numPr>
              <w:jc w:val="both"/>
              <w:rPr>
                <w:rFonts w:hint="eastAsia" w:ascii="Arial" w:hAnsi="Arial" w:cs="Arial"/>
                <w:b w:val="0"/>
                <w:bCs w:val="0"/>
                <w:sz w:val="24"/>
                <w:szCs w:val="24"/>
                <w:highlight w:val="none"/>
                <w:u w:val="none"/>
                <w:lang w:val="en-US" w:eastAsia="zh-CN"/>
              </w:rPr>
            </w:pPr>
          </w:p>
        </w:tc>
        <w:tc>
          <w:tcPr>
            <w:tcW w:w="2443" w:type="dxa"/>
            <w:gridSpan w:val="2"/>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现有职工人数</w:t>
            </w:r>
          </w:p>
        </w:tc>
        <w:tc>
          <w:tcPr>
            <w:tcW w:w="3047" w:type="dxa"/>
            <w:gridSpan w:val="2"/>
            <w:vAlign w:val="center"/>
          </w:tcPr>
          <w:p>
            <w:pPr>
              <w:numPr>
                <w:numId w:val="0"/>
              </w:numPr>
              <w:jc w:val="both"/>
              <w:rPr>
                <w:rFonts w:hint="eastAsia" w:ascii="Arial" w:hAnsi="Arial" w:cs="Arial"/>
                <w:b w:val="0"/>
                <w:bCs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2786" w:type="dxa"/>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行政管理人数</w:t>
            </w:r>
          </w:p>
        </w:tc>
        <w:tc>
          <w:tcPr>
            <w:tcW w:w="2764" w:type="dxa"/>
            <w:gridSpan w:val="3"/>
            <w:vAlign w:val="center"/>
          </w:tcPr>
          <w:p>
            <w:pPr>
              <w:numPr>
                <w:numId w:val="0"/>
              </w:numPr>
              <w:jc w:val="both"/>
              <w:rPr>
                <w:rFonts w:hint="eastAsia" w:ascii="Arial" w:hAnsi="Arial" w:cs="Arial"/>
                <w:b w:val="0"/>
                <w:bCs w:val="0"/>
                <w:sz w:val="24"/>
                <w:szCs w:val="24"/>
                <w:highlight w:val="none"/>
                <w:u w:val="none"/>
                <w:lang w:val="en-US" w:eastAsia="zh-CN"/>
              </w:rPr>
            </w:pPr>
          </w:p>
        </w:tc>
        <w:tc>
          <w:tcPr>
            <w:tcW w:w="2443" w:type="dxa"/>
            <w:gridSpan w:val="2"/>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技术人员人数</w:t>
            </w:r>
          </w:p>
        </w:tc>
        <w:tc>
          <w:tcPr>
            <w:tcW w:w="3047" w:type="dxa"/>
            <w:gridSpan w:val="2"/>
            <w:vAlign w:val="center"/>
          </w:tcPr>
          <w:p>
            <w:pPr>
              <w:numPr>
                <w:numId w:val="0"/>
              </w:numPr>
              <w:jc w:val="both"/>
              <w:rPr>
                <w:rFonts w:hint="eastAsia" w:ascii="Arial" w:hAnsi="Arial" w:cs="Arial"/>
                <w:b w:val="0"/>
                <w:bCs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2786" w:type="dxa"/>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营业执照</w:t>
            </w:r>
          </w:p>
        </w:tc>
        <w:tc>
          <w:tcPr>
            <w:tcW w:w="8254" w:type="dxa"/>
            <w:gridSpan w:val="7"/>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1.执照编号    2.营业范围   3.发照部门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2786" w:type="dxa"/>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单位资质</w:t>
            </w:r>
          </w:p>
        </w:tc>
        <w:tc>
          <w:tcPr>
            <w:tcW w:w="8254" w:type="dxa"/>
            <w:gridSpan w:val="7"/>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1.执照编号    2.营业范围   3.发照部门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 w:hRule="atLeast"/>
        </w:trPr>
        <w:tc>
          <w:tcPr>
            <w:tcW w:w="2786" w:type="dxa"/>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单位注册地址</w:t>
            </w:r>
          </w:p>
        </w:tc>
        <w:tc>
          <w:tcPr>
            <w:tcW w:w="2764" w:type="dxa"/>
            <w:gridSpan w:val="3"/>
            <w:vAlign w:val="center"/>
          </w:tcPr>
          <w:p>
            <w:pPr>
              <w:numPr>
                <w:numId w:val="0"/>
              </w:numPr>
              <w:jc w:val="both"/>
              <w:rPr>
                <w:rFonts w:hint="eastAsia" w:ascii="Arial" w:hAnsi="Arial" w:cs="Arial"/>
                <w:b w:val="0"/>
                <w:bCs w:val="0"/>
                <w:sz w:val="24"/>
                <w:szCs w:val="24"/>
                <w:highlight w:val="none"/>
                <w:u w:val="none"/>
                <w:lang w:val="en-US" w:eastAsia="zh-CN"/>
              </w:rPr>
            </w:pPr>
          </w:p>
        </w:tc>
        <w:tc>
          <w:tcPr>
            <w:tcW w:w="2443" w:type="dxa"/>
            <w:gridSpan w:val="2"/>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单位联系人、联系方式</w:t>
            </w:r>
          </w:p>
        </w:tc>
        <w:tc>
          <w:tcPr>
            <w:tcW w:w="3047" w:type="dxa"/>
            <w:gridSpan w:val="2"/>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（电话、传真、邮址）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2786" w:type="dxa"/>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单位成立时间</w:t>
            </w:r>
          </w:p>
        </w:tc>
        <w:tc>
          <w:tcPr>
            <w:tcW w:w="8254" w:type="dxa"/>
            <w:gridSpan w:val="7"/>
            <w:vAlign w:val="center"/>
          </w:tcPr>
          <w:p>
            <w:pPr>
              <w:numPr>
                <w:numId w:val="0"/>
              </w:numPr>
              <w:jc w:val="both"/>
              <w:rPr>
                <w:rFonts w:hint="eastAsia" w:ascii="Arial" w:hAnsi="Arial" w:cs="Arial"/>
                <w:b w:val="0"/>
                <w:bCs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2786" w:type="dxa"/>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开户银行</w:t>
            </w:r>
          </w:p>
        </w:tc>
        <w:tc>
          <w:tcPr>
            <w:tcW w:w="8254" w:type="dxa"/>
            <w:gridSpan w:val="7"/>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 xml:space="preserve">           开户行、开户名称、银行账号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1040" w:type="dxa"/>
            <w:gridSpan w:val="8"/>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 xml:space="preserve">                      驻临沂市固定经营场所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3108" w:type="dxa"/>
            <w:gridSpan w:val="2"/>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机构名称</w:t>
            </w:r>
          </w:p>
        </w:tc>
        <w:tc>
          <w:tcPr>
            <w:tcW w:w="2171" w:type="dxa"/>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注册地址</w:t>
            </w:r>
          </w:p>
        </w:tc>
        <w:tc>
          <w:tcPr>
            <w:tcW w:w="1909" w:type="dxa"/>
            <w:gridSpan w:val="2"/>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联系人</w:t>
            </w:r>
          </w:p>
        </w:tc>
        <w:tc>
          <w:tcPr>
            <w:tcW w:w="2026" w:type="dxa"/>
            <w:gridSpan w:val="2"/>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联络方式</w:t>
            </w:r>
          </w:p>
        </w:tc>
        <w:tc>
          <w:tcPr>
            <w:tcW w:w="1826" w:type="dxa"/>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3108" w:type="dxa"/>
            <w:gridSpan w:val="2"/>
            <w:vAlign w:val="center"/>
          </w:tcPr>
          <w:p>
            <w:pPr>
              <w:numPr>
                <w:numId w:val="0"/>
              </w:numPr>
              <w:jc w:val="both"/>
              <w:rPr>
                <w:rFonts w:hint="eastAsia" w:ascii="Arial" w:hAnsi="Arial" w:cs="Arial"/>
                <w:b w:val="0"/>
                <w:bCs w:val="0"/>
                <w:sz w:val="24"/>
                <w:szCs w:val="24"/>
                <w:highlight w:val="none"/>
                <w:u w:val="none"/>
                <w:lang w:val="en-US" w:eastAsia="zh-CN"/>
              </w:rPr>
            </w:pPr>
          </w:p>
        </w:tc>
        <w:tc>
          <w:tcPr>
            <w:tcW w:w="2171"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909" w:type="dxa"/>
            <w:gridSpan w:val="2"/>
            <w:vAlign w:val="center"/>
          </w:tcPr>
          <w:p>
            <w:pPr>
              <w:numPr>
                <w:numId w:val="0"/>
              </w:numPr>
              <w:jc w:val="both"/>
              <w:rPr>
                <w:rFonts w:hint="eastAsia" w:ascii="Arial" w:hAnsi="Arial" w:cs="Arial"/>
                <w:b w:val="0"/>
                <w:bCs w:val="0"/>
                <w:sz w:val="24"/>
                <w:szCs w:val="24"/>
                <w:highlight w:val="none"/>
                <w:u w:val="none"/>
                <w:lang w:val="en-US" w:eastAsia="zh-CN"/>
              </w:rPr>
            </w:pPr>
          </w:p>
        </w:tc>
        <w:tc>
          <w:tcPr>
            <w:tcW w:w="2026" w:type="dxa"/>
            <w:gridSpan w:val="2"/>
            <w:vAlign w:val="center"/>
          </w:tcPr>
          <w:p>
            <w:pPr>
              <w:numPr>
                <w:numId w:val="0"/>
              </w:numPr>
              <w:jc w:val="both"/>
              <w:rPr>
                <w:rFonts w:hint="eastAsia" w:ascii="Arial" w:hAnsi="Arial" w:cs="Arial"/>
                <w:b w:val="0"/>
                <w:bCs w:val="0"/>
                <w:sz w:val="24"/>
                <w:szCs w:val="24"/>
                <w:highlight w:val="none"/>
                <w:u w:val="none"/>
                <w:lang w:val="en-US" w:eastAsia="zh-CN"/>
              </w:rPr>
            </w:pPr>
          </w:p>
        </w:tc>
        <w:tc>
          <w:tcPr>
            <w:tcW w:w="1826" w:type="dxa"/>
            <w:vAlign w:val="center"/>
          </w:tcPr>
          <w:p>
            <w:pPr>
              <w:numPr>
                <w:numId w:val="0"/>
              </w:numPr>
              <w:jc w:val="both"/>
              <w:rPr>
                <w:rFonts w:hint="eastAsia" w:ascii="Arial" w:hAnsi="Arial" w:cs="Arial"/>
                <w:b w:val="0"/>
                <w:bCs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3108" w:type="dxa"/>
            <w:gridSpan w:val="2"/>
            <w:vAlign w:val="center"/>
          </w:tcPr>
          <w:p>
            <w:pPr>
              <w:numPr>
                <w:numId w:val="0"/>
              </w:numPr>
              <w:jc w:val="both"/>
              <w:rPr>
                <w:rFonts w:hint="eastAsia" w:ascii="Arial" w:hAnsi="Arial" w:cs="Arial"/>
                <w:b w:val="0"/>
                <w:bCs w:val="0"/>
                <w:sz w:val="24"/>
                <w:szCs w:val="24"/>
                <w:highlight w:val="none"/>
                <w:u w:val="none"/>
                <w:lang w:val="en-US" w:eastAsia="zh-CN"/>
              </w:rPr>
            </w:pPr>
          </w:p>
        </w:tc>
        <w:tc>
          <w:tcPr>
            <w:tcW w:w="2171"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909" w:type="dxa"/>
            <w:gridSpan w:val="2"/>
            <w:vAlign w:val="center"/>
          </w:tcPr>
          <w:p>
            <w:pPr>
              <w:numPr>
                <w:numId w:val="0"/>
              </w:numPr>
              <w:jc w:val="both"/>
              <w:rPr>
                <w:rFonts w:hint="eastAsia" w:ascii="Arial" w:hAnsi="Arial" w:cs="Arial"/>
                <w:b w:val="0"/>
                <w:bCs w:val="0"/>
                <w:sz w:val="24"/>
                <w:szCs w:val="24"/>
                <w:highlight w:val="none"/>
                <w:u w:val="none"/>
                <w:lang w:val="en-US" w:eastAsia="zh-CN"/>
              </w:rPr>
            </w:pPr>
          </w:p>
        </w:tc>
        <w:tc>
          <w:tcPr>
            <w:tcW w:w="2026" w:type="dxa"/>
            <w:gridSpan w:val="2"/>
            <w:vAlign w:val="center"/>
          </w:tcPr>
          <w:p>
            <w:pPr>
              <w:numPr>
                <w:numId w:val="0"/>
              </w:numPr>
              <w:jc w:val="both"/>
              <w:rPr>
                <w:rFonts w:hint="eastAsia" w:ascii="Arial" w:hAnsi="Arial" w:cs="Arial"/>
                <w:b w:val="0"/>
                <w:bCs w:val="0"/>
                <w:sz w:val="24"/>
                <w:szCs w:val="24"/>
                <w:highlight w:val="none"/>
                <w:u w:val="none"/>
                <w:lang w:val="en-US" w:eastAsia="zh-CN"/>
              </w:rPr>
            </w:pPr>
          </w:p>
        </w:tc>
        <w:tc>
          <w:tcPr>
            <w:tcW w:w="1826" w:type="dxa"/>
            <w:vAlign w:val="center"/>
          </w:tcPr>
          <w:p>
            <w:pPr>
              <w:numPr>
                <w:numId w:val="0"/>
              </w:numPr>
              <w:jc w:val="both"/>
              <w:rPr>
                <w:rFonts w:hint="eastAsia" w:ascii="Arial" w:hAnsi="Arial" w:cs="Arial"/>
                <w:b w:val="0"/>
                <w:bCs w:val="0"/>
                <w:sz w:val="24"/>
                <w:szCs w:val="24"/>
                <w:highlight w:val="none"/>
                <w:u w:val="none"/>
                <w:lang w:val="en-US" w:eastAsia="zh-CN"/>
              </w:rPr>
            </w:pPr>
          </w:p>
        </w:tc>
      </w:tr>
    </w:tbl>
    <w:p>
      <w:pPr>
        <w:numPr>
          <w:numId w:val="0"/>
        </w:numPr>
        <w:jc w:val="both"/>
        <w:rPr>
          <w:rFonts w:hint="eastAsia" w:ascii="Arial" w:hAnsi="Arial" w:cs="Arial"/>
          <w:b w:val="0"/>
          <w:bCs w:val="0"/>
          <w:sz w:val="24"/>
          <w:szCs w:val="24"/>
          <w:highlight w:val="none"/>
          <w:u w:val="none"/>
          <w:lang w:val="en-US" w:eastAsia="zh-CN"/>
        </w:rPr>
      </w:pP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投标人：（公章）</w:t>
      </w: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法定代表人或投标人全权代表：（签字或印章）</w:t>
      </w:r>
    </w:p>
    <w:p>
      <w:pPr>
        <w:numPr>
          <w:numId w:val="0"/>
        </w:numPr>
        <w:spacing w:line="360" w:lineRule="auto"/>
        <w:jc w:val="both"/>
        <w:rPr>
          <w:rFonts w:hint="eastAsia" w:ascii="Arial" w:hAnsi="Arial" w:cs="Arial"/>
          <w:b w:val="0"/>
          <w:bCs w:val="0"/>
          <w:sz w:val="24"/>
          <w:szCs w:val="24"/>
          <w:highlight w:val="none"/>
          <w:u w:val="none"/>
          <w:lang w:val="en-US" w:eastAsia="zh-CN"/>
        </w:rPr>
      </w:pP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日   期：   年     月     日</w:t>
      </w:r>
    </w:p>
    <w:p>
      <w:pPr>
        <w:numPr>
          <w:numId w:val="0"/>
        </w:numPr>
        <w:jc w:val="both"/>
        <w:rPr>
          <w:rFonts w:hint="eastAsia" w:ascii="Arial" w:hAnsi="Arial" w:cs="Arial"/>
          <w:b/>
          <w:bCs/>
          <w:sz w:val="24"/>
          <w:szCs w:val="24"/>
          <w:highlight w:val="none"/>
          <w:u w:val="none"/>
          <w:lang w:val="en-US" w:eastAsia="zh-CN"/>
        </w:rPr>
      </w:pPr>
    </w:p>
    <w:p>
      <w:pPr>
        <w:numPr>
          <w:numId w:val="0"/>
        </w:numPr>
        <w:jc w:val="both"/>
        <w:rPr>
          <w:rFonts w:hint="eastAsia" w:ascii="Arial" w:hAnsi="Arial" w:cs="Arial"/>
          <w:b/>
          <w:bCs/>
          <w:sz w:val="24"/>
          <w:szCs w:val="24"/>
          <w:highlight w:val="none"/>
          <w:u w:val="none"/>
          <w:lang w:val="en-US" w:eastAsia="zh-CN"/>
        </w:rPr>
      </w:pP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bCs/>
          <w:sz w:val="24"/>
          <w:szCs w:val="24"/>
          <w:highlight w:val="none"/>
          <w:u w:val="none"/>
          <w:lang w:val="en-US" w:eastAsia="zh-CN"/>
        </w:rPr>
        <w:t xml:space="preserve">附件5 </w:t>
      </w:r>
      <w:r>
        <w:rPr>
          <w:rFonts w:hint="eastAsia" w:ascii="Arial" w:hAnsi="Arial" w:cs="Arial"/>
          <w:b w:val="0"/>
          <w:bCs w:val="0"/>
          <w:sz w:val="24"/>
          <w:szCs w:val="24"/>
          <w:highlight w:val="none"/>
          <w:u w:val="none"/>
          <w:lang w:val="en-US" w:eastAsia="zh-CN"/>
        </w:rPr>
        <w:t xml:space="preserve">  商务条款偏离表</w:t>
      </w: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 xml:space="preserve">                                商务条款偏离表</w:t>
      </w:r>
    </w:p>
    <w:tbl>
      <w:tblPr>
        <w:tblW w:w="10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668"/>
        <w:gridCol w:w="1668"/>
        <w:gridCol w:w="1668"/>
        <w:gridCol w:w="1669"/>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1668" w:type="dxa"/>
            <w:vMerge w:val="restart"/>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序号</w:t>
            </w:r>
          </w:p>
        </w:tc>
        <w:tc>
          <w:tcPr>
            <w:tcW w:w="3336" w:type="dxa"/>
            <w:gridSpan w:val="2"/>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采购文件</w:t>
            </w:r>
          </w:p>
        </w:tc>
        <w:tc>
          <w:tcPr>
            <w:tcW w:w="3337" w:type="dxa"/>
            <w:gridSpan w:val="2"/>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投标文件</w:t>
            </w:r>
          </w:p>
        </w:tc>
        <w:tc>
          <w:tcPr>
            <w:tcW w:w="1959" w:type="dxa"/>
            <w:vMerge w:val="restart"/>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1668" w:type="dxa"/>
            <w:vMerge w:val="continue"/>
            <w:vAlign w:val="center"/>
          </w:tcPr>
          <w:p>
            <w:pPr>
              <w:numPr>
                <w:numId w:val="0"/>
              </w:numPr>
              <w:jc w:val="both"/>
              <w:rPr>
                <w:rFonts w:hint="eastAsia" w:ascii="Arial" w:hAnsi="Arial" w:cs="Arial"/>
                <w:b w:val="0"/>
                <w:bCs w:val="0"/>
                <w:sz w:val="24"/>
                <w:szCs w:val="24"/>
                <w:highlight w:val="none"/>
                <w:u w:val="none"/>
                <w:lang w:val="en-US" w:eastAsia="zh-CN"/>
              </w:rPr>
            </w:pPr>
          </w:p>
        </w:tc>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条款号</w:t>
            </w:r>
          </w:p>
        </w:tc>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条款内容</w:t>
            </w:r>
          </w:p>
        </w:tc>
        <w:tc>
          <w:tcPr>
            <w:tcW w:w="1668" w:type="dxa"/>
            <w:vAlign w:val="center"/>
          </w:tcPr>
          <w:p>
            <w:pPr>
              <w:numPr>
                <w:numId w:val="0"/>
              </w:numPr>
              <w:ind w:left="0" w:leftChars="0" w:firstLine="0" w:firstLineChars="0"/>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条款号</w:t>
            </w:r>
          </w:p>
        </w:tc>
        <w:tc>
          <w:tcPr>
            <w:tcW w:w="1669" w:type="dxa"/>
            <w:vAlign w:val="center"/>
          </w:tcPr>
          <w:p>
            <w:pPr>
              <w:numPr>
                <w:numId w:val="0"/>
              </w:numPr>
              <w:ind w:left="0" w:leftChars="0" w:firstLine="0" w:firstLineChars="0"/>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条款内容</w:t>
            </w:r>
          </w:p>
        </w:tc>
        <w:tc>
          <w:tcPr>
            <w:tcW w:w="1959" w:type="dxa"/>
            <w:vMerge w:val="continue"/>
            <w:vAlign w:val="center"/>
          </w:tcPr>
          <w:p>
            <w:pPr>
              <w:numPr>
                <w:numId w:val="0"/>
              </w:numPr>
              <w:jc w:val="both"/>
              <w:rPr>
                <w:rFonts w:hint="eastAsia" w:ascii="Arial" w:hAnsi="Arial" w:cs="Arial"/>
                <w:b w:val="0"/>
                <w:bCs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trPr>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69"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959" w:type="dxa"/>
            <w:vAlign w:val="center"/>
          </w:tcPr>
          <w:p>
            <w:pPr>
              <w:numPr>
                <w:numId w:val="0"/>
              </w:numPr>
              <w:jc w:val="both"/>
              <w:rPr>
                <w:rFonts w:hint="eastAsia" w:ascii="Arial" w:hAnsi="Arial" w:cs="Arial"/>
                <w:b w:val="0"/>
                <w:bCs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69"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959" w:type="dxa"/>
            <w:vAlign w:val="center"/>
          </w:tcPr>
          <w:p>
            <w:pPr>
              <w:numPr>
                <w:numId w:val="0"/>
              </w:numPr>
              <w:jc w:val="both"/>
              <w:rPr>
                <w:rFonts w:hint="eastAsia" w:ascii="Arial" w:hAnsi="Arial" w:cs="Arial"/>
                <w:b w:val="0"/>
                <w:bCs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69"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959" w:type="dxa"/>
            <w:vAlign w:val="center"/>
          </w:tcPr>
          <w:p>
            <w:pPr>
              <w:numPr>
                <w:numId w:val="0"/>
              </w:numPr>
              <w:jc w:val="both"/>
              <w:rPr>
                <w:rFonts w:hint="eastAsia" w:ascii="Arial" w:hAnsi="Arial" w:cs="Arial"/>
                <w:b w:val="0"/>
                <w:bCs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69"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959" w:type="dxa"/>
            <w:vAlign w:val="center"/>
          </w:tcPr>
          <w:p>
            <w:pPr>
              <w:numPr>
                <w:numId w:val="0"/>
              </w:numPr>
              <w:jc w:val="both"/>
              <w:rPr>
                <w:rFonts w:hint="eastAsia" w:ascii="Arial" w:hAnsi="Arial" w:cs="Arial"/>
                <w:b w:val="0"/>
                <w:bCs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69"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959" w:type="dxa"/>
            <w:vAlign w:val="center"/>
          </w:tcPr>
          <w:p>
            <w:pPr>
              <w:numPr>
                <w:numId w:val="0"/>
              </w:numPr>
              <w:jc w:val="both"/>
              <w:rPr>
                <w:rFonts w:hint="eastAsia" w:ascii="Arial" w:hAnsi="Arial" w:cs="Arial"/>
                <w:b w:val="0"/>
                <w:bCs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69"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959" w:type="dxa"/>
            <w:vAlign w:val="center"/>
          </w:tcPr>
          <w:p>
            <w:pPr>
              <w:numPr>
                <w:numId w:val="0"/>
              </w:numPr>
              <w:jc w:val="both"/>
              <w:rPr>
                <w:rFonts w:hint="eastAsia" w:ascii="Arial" w:hAnsi="Arial" w:cs="Arial"/>
                <w:b w:val="0"/>
                <w:bCs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69"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959" w:type="dxa"/>
            <w:vAlign w:val="center"/>
          </w:tcPr>
          <w:p>
            <w:pPr>
              <w:numPr>
                <w:numId w:val="0"/>
              </w:numPr>
              <w:jc w:val="both"/>
              <w:rPr>
                <w:rFonts w:hint="eastAsia" w:ascii="Arial" w:hAnsi="Arial" w:cs="Arial"/>
                <w:b w:val="0"/>
                <w:bCs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69"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959" w:type="dxa"/>
            <w:vAlign w:val="center"/>
          </w:tcPr>
          <w:p>
            <w:pPr>
              <w:numPr>
                <w:numId w:val="0"/>
              </w:numPr>
              <w:jc w:val="both"/>
              <w:rPr>
                <w:rFonts w:hint="eastAsia" w:ascii="Arial" w:hAnsi="Arial" w:cs="Arial"/>
                <w:b w:val="0"/>
                <w:bCs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68"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69"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959" w:type="dxa"/>
            <w:vAlign w:val="center"/>
          </w:tcPr>
          <w:p>
            <w:pPr>
              <w:numPr>
                <w:numId w:val="0"/>
              </w:numPr>
              <w:jc w:val="both"/>
              <w:rPr>
                <w:rFonts w:hint="eastAsia" w:ascii="Arial" w:hAnsi="Arial" w:cs="Arial"/>
                <w:b w:val="0"/>
                <w:bCs w:val="0"/>
                <w:sz w:val="24"/>
                <w:szCs w:val="24"/>
                <w:highlight w:val="none"/>
                <w:u w:val="none"/>
                <w:lang w:val="en-US" w:eastAsia="zh-CN"/>
              </w:rPr>
            </w:pPr>
          </w:p>
        </w:tc>
      </w:tr>
    </w:tbl>
    <w:p>
      <w:pPr>
        <w:numPr>
          <w:numId w:val="0"/>
        </w:numPr>
        <w:jc w:val="both"/>
        <w:rPr>
          <w:rFonts w:hint="eastAsia" w:ascii="Arial" w:hAnsi="Arial" w:cs="Arial"/>
          <w:b w:val="0"/>
          <w:bCs w:val="0"/>
          <w:sz w:val="24"/>
          <w:szCs w:val="24"/>
          <w:highlight w:val="none"/>
          <w:u w:val="none"/>
          <w:lang w:val="en-US" w:eastAsia="zh-CN"/>
        </w:rPr>
      </w:pP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投标人：（公章）</w:t>
      </w: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法定代表人或投标人全权代表：（签字或印章）</w:t>
      </w:r>
    </w:p>
    <w:p>
      <w:pPr>
        <w:numPr>
          <w:numId w:val="0"/>
        </w:numPr>
        <w:spacing w:line="360" w:lineRule="auto"/>
        <w:jc w:val="both"/>
        <w:rPr>
          <w:rFonts w:hint="eastAsia" w:ascii="Arial" w:hAnsi="Arial" w:cs="Arial"/>
          <w:b w:val="0"/>
          <w:bCs w:val="0"/>
          <w:sz w:val="24"/>
          <w:szCs w:val="24"/>
          <w:highlight w:val="none"/>
          <w:u w:val="none"/>
          <w:lang w:val="en-US" w:eastAsia="zh-CN"/>
        </w:rPr>
      </w:pP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日   期：   年     月     日</w:t>
      </w:r>
    </w:p>
    <w:p>
      <w:pPr>
        <w:numPr>
          <w:numId w:val="0"/>
        </w:numPr>
        <w:spacing w:line="360" w:lineRule="auto"/>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bCs/>
          <w:sz w:val="24"/>
          <w:szCs w:val="24"/>
          <w:highlight w:val="none"/>
          <w:u w:val="none"/>
          <w:lang w:val="en-US" w:eastAsia="zh-CN"/>
        </w:rPr>
      </w:pP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bCs/>
          <w:sz w:val="24"/>
          <w:szCs w:val="24"/>
          <w:highlight w:val="none"/>
          <w:u w:val="none"/>
          <w:lang w:val="en-US" w:eastAsia="zh-CN"/>
        </w:rPr>
        <w:t>附件6</w:t>
      </w:r>
      <w:r>
        <w:rPr>
          <w:rFonts w:hint="eastAsia" w:ascii="Arial" w:hAnsi="Arial" w:cs="Arial"/>
          <w:b w:val="0"/>
          <w:bCs w:val="0"/>
          <w:sz w:val="24"/>
          <w:szCs w:val="24"/>
          <w:highlight w:val="none"/>
          <w:u w:val="none"/>
          <w:lang w:val="en-US" w:eastAsia="zh-CN"/>
        </w:rPr>
        <w:t xml:space="preserve">  技术标条款偏离表</w:t>
      </w: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 xml:space="preserve">                                技术条款偏离表</w:t>
      </w:r>
    </w:p>
    <w:tbl>
      <w:tblPr>
        <w:tblW w:w="10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645"/>
        <w:gridCol w:w="1646"/>
        <w:gridCol w:w="1646"/>
        <w:gridCol w:w="1645"/>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645" w:type="dxa"/>
            <w:vMerge w:val="restart"/>
            <w:vAlign w:val="center"/>
          </w:tcPr>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序号</w:t>
            </w:r>
          </w:p>
        </w:tc>
        <w:tc>
          <w:tcPr>
            <w:tcW w:w="3291" w:type="dxa"/>
            <w:gridSpan w:val="2"/>
            <w:vAlign w:val="center"/>
          </w:tcPr>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采购文件</w:t>
            </w:r>
          </w:p>
        </w:tc>
        <w:tc>
          <w:tcPr>
            <w:tcW w:w="3291" w:type="dxa"/>
            <w:gridSpan w:val="2"/>
            <w:vAlign w:val="center"/>
          </w:tcPr>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投标文件</w:t>
            </w:r>
          </w:p>
        </w:tc>
        <w:tc>
          <w:tcPr>
            <w:tcW w:w="1933" w:type="dxa"/>
            <w:vMerge w:val="restart"/>
            <w:vAlign w:val="center"/>
          </w:tcPr>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1645" w:type="dxa"/>
            <w:vMerge w:val="continue"/>
            <w:vAlign w:val="center"/>
          </w:tcPr>
          <w:p>
            <w:pPr>
              <w:numPr>
                <w:numId w:val="0"/>
              </w:numPr>
              <w:spacing w:line="360" w:lineRule="auto"/>
              <w:jc w:val="both"/>
              <w:rPr>
                <w:rFonts w:hint="eastAsia" w:ascii="Arial" w:hAnsi="Arial" w:cs="Arial"/>
                <w:b w:val="0"/>
                <w:bCs w:val="0"/>
                <w:sz w:val="24"/>
                <w:szCs w:val="24"/>
                <w:highlight w:val="none"/>
                <w:u w:val="none"/>
                <w:lang w:val="en-US" w:eastAsia="zh-CN"/>
              </w:rPr>
            </w:pPr>
          </w:p>
        </w:tc>
        <w:tc>
          <w:tcPr>
            <w:tcW w:w="1645" w:type="dxa"/>
            <w:vAlign w:val="center"/>
          </w:tcPr>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条款号</w:t>
            </w:r>
          </w:p>
        </w:tc>
        <w:tc>
          <w:tcPr>
            <w:tcW w:w="1646" w:type="dxa"/>
            <w:vAlign w:val="center"/>
          </w:tcPr>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条款内容</w:t>
            </w:r>
          </w:p>
        </w:tc>
        <w:tc>
          <w:tcPr>
            <w:tcW w:w="1646" w:type="dxa"/>
            <w:vAlign w:val="center"/>
          </w:tcPr>
          <w:p>
            <w:pPr>
              <w:numPr>
                <w:numId w:val="0"/>
              </w:numPr>
              <w:spacing w:line="360" w:lineRule="auto"/>
              <w:ind w:left="0" w:leftChars="0" w:firstLine="0" w:firstLineChars="0"/>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条款号</w:t>
            </w:r>
          </w:p>
        </w:tc>
        <w:tc>
          <w:tcPr>
            <w:tcW w:w="1645" w:type="dxa"/>
            <w:vAlign w:val="center"/>
          </w:tcPr>
          <w:p>
            <w:pPr>
              <w:numPr>
                <w:numId w:val="0"/>
              </w:numPr>
              <w:spacing w:line="360" w:lineRule="auto"/>
              <w:ind w:left="0" w:leftChars="0" w:firstLine="0" w:firstLineChars="0"/>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条款内容</w:t>
            </w:r>
          </w:p>
        </w:tc>
        <w:tc>
          <w:tcPr>
            <w:tcW w:w="1933" w:type="dxa"/>
            <w:vMerge w:val="continue"/>
            <w:vAlign w:val="center"/>
          </w:tcPr>
          <w:p>
            <w:pPr>
              <w:numPr>
                <w:numId w:val="0"/>
              </w:numPr>
              <w:spacing w:line="360" w:lineRule="auto"/>
              <w:jc w:val="both"/>
              <w:rPr>
                <w:rFonts w:hint="eastAsia" w:ascii="Arial" w:hAnsi="Arial" w:cs="Arial"/>
                <w:b w:val="0"/>
                <w:bCs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1645"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45"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46"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46"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45"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933" w:type="dxa"/>
            <w:vAlign w:val="center"/>
          </w:tcPr>
          <w:p>
            <w:pPr>
              <w:numPr>
                <w:numId w:val="0"/>
              </w:numPr>
              <w:jc w:val="both"/>
              <w:rPr>
                <w:rFonts w:hint="eastAsia" w:ascii="Arial" w:hAnsi="Arial" w:cs="Arial"/>
                <w:b w:val="0"/>
                <w:bCs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1645"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45"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46"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46"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45"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933" w:type="dxa"/>
            <w:vAlign w:val="center"/>
          </w:tcPr>
          <w:p>
            <w:pPr>
              <w:numPr>
                <w:numId w:val="0"/>
              </w:numPr>
              <w:jc w:val="both"/>
              <w:rPr>
                <w:rFonts w:hint="eastAsia" w:ascii="Arial" w:hAnsi="Arial" w:cs="Arial"/>
                <w:b w:val="0"/>
                <w:bCs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645"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45"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46"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46"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45"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933" w:type="dxa"/>
            <w:vAlign w:val="center"/>
          </w:tcPr>
          <w:p>
            <w:pPr>
              <w:numPr>
                <w:numId w:val="0"/>
              </w:numPr>
              <w:jc w:val="both"/>
              <w:rPr>
                <w:rFonts w:hint="eastAsia" w:ascii="Arial" w:hAnsi="Arial" w:cs="Arial"/>
                <w:b w:val="0"/>
                <w:bCs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1645"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45"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46"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46"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45"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933" w:type="dxa"/>
            <w:vAlign w:val="center"/>
          </w:tcPr>
          <w:p>
            <w:pPr>
              <w:numPr>
                <w:numId w:val="0"/>
              </w:numPr>
              <w:jc w:val="both"/>
              <w:rPr>
                <w:rFonts w:hint="eastAsia" w:ascii="Arial" w:hAnsi="Arial" w:cs="Arial"/>
                <w:b w:val="0"/>
                <w:bCs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1645"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45"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46"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46"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45"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933" w:type="dxa"/>
            <w:vAlign w:val="center"/>
          </w:tcPr>
          <w:p>
            <w:pPr>
              <w:numPr>
                <w:numId w:val="0"/>
              </w:numPr>
              <w:jc w:val="both"/>
              <w:rPr>
                <w:rFonts w:hint="eastAsia" w:ascii="Arial" w:hAnsi="Arial" w:cs="Arial"/>
                <w:b w:val="0"/>
                <w:bCs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645"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45"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46"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46"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45"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933" w:type="dxa"/>
            <w:vAlign w:val="center"/>
          </w:tcPr>
          <w:p>
            <w:pPr>
              <w:numPr>
                <w:numId w:val="0"/>
              </w:numPr>
              <w:jc w:val="both"/>
              <w:rPr>
                <w:rFonts w:hint="eastAsia" w:ascii="Arial" w:hAnsi="Arial" w:cs="Arial"/>
                <w:b w:val="0"/>
                <w:bCs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645"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45"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46"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46"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45"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933" w:type="dxa"/>
            <w:vAlign w:val="center"/>
          </w:tcPr>
          <w:p>
            <w:pPr>
              <w:numPr>
                <w:numId w:val="0"/>
              </w:numPr>
              <w:jc w:val="both"/>
              <w:rPr>
                <w:rFonts w:hint="eastAsia" w:ascii="Arial" w:hAnsi="Arial" w:cs="Arial"/>
                <w:b w:val="0"/>
                <w:bCs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645"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45"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46"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46"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45"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933" w:type="dxa"/>
            <w:vAlign w:val="center"/>
          </w:tcPr>
          <w:p>
            <w:pPr>
              <w:numPr>
                <w:numId w:val="0"/>
              </w:numPr>
              <w:jc w:val="both"/>
              <w:rPr>
                <w:rFonts w:hint="eastAsia" w:ascii="Arial" w:hAnsi="Arial" w:cs="Arial"/>
                <w:b w:val="0"/>
                <w:bCs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1645"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45"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46"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46"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645"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933" w:type="dxa"/>
            <w:vAlign w:val="center"/>
          </w:tcPr>
          <w:p>
            <w:pPr>
              <w:numPr>
                <w:numId w:val="0"/>
              </w:numPr>
              <w:jc w:val="both"/>
              <w:rPr>
                <w:rFonts w:hint="eastAsia" w:ascii="Arial" w:hAnsi="Arial" w:cs="Arial"/>
                <w:b w:val="0"/>
                <w:bCs w:val="0"/>
                <w:sz w:val="24"/>
                <w:szCs w:val="24"/>
                <w:highlight w:val="none"/>
                <w:u w:val="none"/>
                <w:lang w:val="en-US" w:eastAsia="zh-CN"/>
              </w:rPr>
            </w:pPr>
          </w:p>
        </w:tc>
      </w:tr>
    </w:tbl>
    <w:p>
      <w:pPr>
        <w:numPr>
          <w:numId w:val="0"/>
        </w:numPr>
        <w:jc w:val="both"/>
        <w:rPr>
          <w:rFonts w:hint="eastAsia" w:ascii="Arial" w:hAnsi="Arial" w:cs="Arial"/>
          <w:b w:val="0"/>
          <w:bCs w:val="0"/>
          <w:sz w:val="24"/>
          <w:szCs w:val="24"/>
          <w:highlight w:val="none"/>
          <w:u w:val="none"/>
          <w:lang w:val="en-US" w:eastAsia="zh-CN"/>
        </w:rPr>
      </w:pP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投标人：（公章）</w:t>
      </w: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法定代表人或投标人全权代表：（签字或印章）</w:t>
      </w:r>
    </w:p>
    <w:p>
      <w:pPr>
        <w:numPr>
          <w:numId w:val="0"/>
        </w:numPr>
        <w:spacing w:line="360" w:lineRule="auto"/>
        <w:jc w:val="both"/>
        <w:rPr>
          <w:rFonts w:hint="eastAsia" w:ascii="Arial" w:hAnsi="Arial" w:cs="Arial"/>
          <w:b w:val="0"/>
          <w:bCs w:val="0"/>
          <w:sz w:val="24"/>
          <w:szCs w:val="24"/>
          <w:highlight w:val="none"/>
          <w:u w:val="none"/>
          <w:lang w:val="en-US" w:eastAsia="zh-CN"/>
        </w:rPr>
      </w:pP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日   期：   年     月     日</w:t>
      </w: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bCs/>
          <w:sz w:val="24"/>
          <w:szCs w:val="24"/>
          <w:highlight w:val="none"/>
          <w:u w:val="none"/>
          <w:lang w:val="en-US" w:eastAsia="zh-CN"/>
        </w:rPr>
        <w:t>附件7</w:t>
      </w:r>
      <w:r>
        <w:rPr>
          <w:rFonts w:hint="eastAsia" w:ascii="Arial" w:hAnsi="Arial" w:cs="Arial"/>
          <w:b w:val="0"/>
          <w:bCs w:val="0"/>
          <w:sz w:val="24"/>
          <w:szCs w:val="24"/>
          <w:highlight w:val="none"/>
          <w:u w:val="none"/>
          <w:lang w:val="en-US" w:eastAsia="zh-CN"/>
        </w:rPr>
        <w:t>投标文件包装袋密封件正面和封口处格式</w:t>
      </w: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 xml:space="preserve">                      投标文件包装袋密封件正面格式</w:t>
      </w:r>
    </w:p>
    <w:tbl>
      <w:tblPr>
        <w:tblW w:w="9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0" w:hRule="atLeast"/>
        </w:trPr>
        <w:tc>
          <w:tcPr>
            <w:tcW w:w="9480" w:type="dxa"/>
            <w:vAlign w:val="top"/>
          </w:tcPr>
          <w:p>
            <w:pPr>
              <w:numPr>
                <w:numId w:val="0"/>
              </w:numPr>
              <w:spacing w:line="360" w:lineRule="auto"/>
              <w:jc w:val="both"/>
              <w:rPr>
                <w:rFonts w:hint="eastAsia" w:ascii="Arial" w:hAnsi="Arial" w:cs="Arial"/>
                <w:b w:val="0"/>
                <w:bCs w:val="0"/>
                <w:sz w:val="24"/>
                <w:szCs w:val="24"/>
                <w:highlight w:val="none"/>
                <w:u w:val="none"/>
                <w:lang w:val="en-US" w:eastAsia="zh-CN"/>
              </w:rPr>
            </w:pPr>
          </w:p>
          <w:p>
            <w:pPr>
              <w:numPr>
                <w:numId w:val="0"/>
              </w:numPr>
              <w:spacing w:line="360" w:lineRule="auto"/>
              <w:jc w:val="both"/>
              <w:rPr>
                <w:rFonts w:hint="eastAsia" w:ascii="Arial" w:hAnsi="Arial" w:cs="Arial"/>
                <w:b w:val="0"/>
                <w:bCs w:val="0"/>
                <w:sz w:val="24"/>
                <w:szCs w:val="24"/>
                <w:highlight w:val="none"/>
                <w:u w:val="none"/>
                <w:lang w:val="en-US" w:eastAsia="zh-CN"/>
              </w:rPr>
            </w:pPr>
          </w:p>
          <w:p>
            <w:pPr>
              <w:numPr>
                <w:numId w:val="0"/>
              </w:numPr>
              <w:spacing w:line="360" w:lineRule="auto"/>
              <w:jc w:val="both"/>
              <w:rPr>
                <w:rFonts w:hint="eastAsia" w:ascii="Arial" w:hAnsi="Arial" w:cs="Arial"/>
                <w:b w:val="0"/>
                <w:bCs w:val="0"/>
                <w:sz w:val="24"/>
                <w:szCs w:val="24"/>
                <w:highlight w:val="none"/>
                <w:u w:val="none"/>
                <w:lang w:val="en-US" w:eastAsia="zh-CN"/>
              </w:rPr>
            </w:pP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收件人：                                       正本（副本）</w:t>
            </w:r>
          </w:p>
          <w:p>
            <w:pPr>
              <w:numPr>
                <w:numId w:val="0"/>
              </w:numPr>
              <w:spacing w:line="360" w:lineRule="auto"/>
              <w:jc w:val="both"/>
              <w:rPr>
                <w:rFonts w:hint="eastAsia" w:ascii="Arial" w:hAnsi="Arial" w:cs="Arial"/>
                <w:b w:val="0"/>
                <w:bCs w:val="0"/>
                <w:sz w:val="24"/>
                <w:szCs w:val="24"/>
                <w:highlight w:val="none"/>
                <w:u w:val="none"/>
                <w:lang w:val="en-US" w:eastAsia="zh-CN"/>
              </w:rPr>
            </w:pPr>
          </w:p>
          <w:p>
            <w:pPr>
              <w:numPr>
                <w:numId w:val="0"/>
              </w:numPr>
              <w:spacing w:line="360" w:lineRule="auto"/>
              <w:jc w:val="both"/>
              <w:rPr>
                <w:rFonts w:hint="eastAsia" w:ascii="Arial" w:hAnsi="Arial" w:cs="Arial"/>
                <w:b w:val="0"/>
                <w:bCs w:val="0"/>
                <w:sz w:val="24"/>
                <w:szCs w:val="24"/>
                <w:highlight w:val="none"/>
                <w:u w:val="none"/>
                <w:lang w:val="en-US" w:eastAsia="zh-CN"/>
              </w:rPr>
            </w:pP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项目名称：</w:t>
            </w: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项目编号：</w:t>
            </w:r>
          </w:p>
          <w:p>
            <w:pPr>
              <w:numPr>
                <w:numId w:val="0"/>
              </w:numPr>
              <w:spacing w:line="360" w:lineRule="auto"/>
              <w:jc w:val="both"/>
              <w:rPr>
                <w:rFonts w:hint="eastAsia" w:ascii="Arial" w:hAnsi="Arial" w:cs="Arial"/>
                <w:b w:val="0"/>
                <w:bCs w:val="0"/>
                <w:sz w:val="24"/>
                <w:szCs w:val="24"/>
                <w:highlight w:val="none"/>
                <w:u w:val="none"/>
                <w:lang w:val="en-US" w:eastAsia="zh-CN"/>
              </w:rPr>
            </w:pPr>
          </w:p>
          <w:p>
            <w:pPr>
              <w:numPr>
                <w:numId w:val="0"/>
              </w:numPr>
              <w:spacing w:line="360" w:lineRule="auto"/>
              <w:jc w:val="both"/>
              <w:rPr>
                <w:rFonts w:hint="eastAsia" w:ascii="Arial" w:hAnsi="Arial" w:cs="Arial"/>
                <w:b w:val="0"/>
                <w:bCs w:val="0"/>
                <w:sz w:val="24"/>
                <w:szCs w:val="24"/>
                <w:highlight w:val="none"/>
                <w:u w:val="none"/>
                <w:lang w:val="en-US" w:eastAsia="zh-CN"/>
              </w:rPr>
            </w:pPr>
          </w:p>
          <w:p>
            <w:pPr>
              <w:numPr>
                <w:numId w:val="0"/>
              </w:numPr>
              <w:spacing w:line="360" w:lineRule="auto"/>
              <w:jc w:val="both"/>
              <w:rPr>
                <w:rFonts w:hint="eastAsia" w:ascii="Arial" w:hAnsi="Arial" w:cs="Arial"/>
                <w:b w:val="0"/>
                <w:bCs w:val="0"/>
                <w:sz w:val="24"/>
                <w:szCs w:val="24"/>
                <w:highlight w:val="none"/>
                <w:u w:val="none"/>
                <w:lang w:val="en-US" w:eastAsia="zh-CN"/>
              </w:rPr>
            </w:pP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投标人名称：</w:t>
            </w: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投标人地址：</w:t>
            </w: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邮政编码：</w:t>
            </w:r>
          </w:p>
          <w:p>
            <w:pPr>
              <w:numPr>
                <w:numId w:val="0"/>
              </w:numPr>
              <w:spacing w:line="360" w:lineRule="auto"/>
              <w:ind w:firstLine="480"/>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年   月   日</w:t>
            </w:r>
          </w:p>
          <w:p>
            <w:pPr>
              <w:numPr>
                <w:numId w:val="0"/>
              </w:numPr>
              <w:spacing w:line="360" w:lineRule="auto"/>
              <w:ind w:firstLine="480"/>
              <w:jc w:val="both"/>
              <w:rPr>
                <w:rFonts w:hint="eastAsia" w:ascii="Arial" w:hAnsi="Arial" w:cs="Arial"/>
                <w:b w:val="0"/>
                <w:bCs w:val="0"/>
                <w:sz w:val="24"/>
                <w:szCs w:val="24"/>
                <w:highlight w:val="none"/>
                <w:u w:val="none"/>
                <w:lang w:val="en-US" w:eastAsia="zh-CN"/>
              </w:rPr>
            </w:pPr>
          </w:p>
          <w:p>
            <w:pPr>
              <w:numPr>
                <w:numId w:val="0"/>
              </w:numPr>
              <w:spacing w:line="360" w:lineRule="auto"/>
              <w:ind w:firstLine="480"/>
              <w:jc w:val="both"/>
              <w:rPr>
                <w:rFonts w:hint="eastAsia" w:ascii="Arial" w:hAnsi="Arial" w:cs="Arial"/>
                <w:b w:val="0"/>
                <w:bCs w:val="0"/>
                <w:sz w:val="24"/>
                <w:szCs w:val="24"/>
                <w:highlight w:val="none"/>
                <w:u w:val="none"/>
                <w:lang w:val="en-US" w:eastAsia="zh-CN"/>
              </w:rPr>
            </w:pP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加盖投标人公章（或投标人法定代表人或其授权代表签字）</w:t>
            </w:r>
          </w:p>
        </w:tc>
      </w:tr>
    </w:tbl>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 xml:space="preserve">                                    投标文件封口处</w:t>
      </w:r>
    </w:p>
    <w:tbl>
      <w:tblPr>
        <w:tblW w:w="9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9" w:hRule="atLeast"/>
        </w:trPr>
        <w:tc>
          <w:tcPr>
            <w:tcW w:w="9620" w:type="dxa"/>
            <w:vAlign w:val="top"/>
          </w:tcPr>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 xml:space="preserve">              请勿在       年     月    日    ：    时之前启封</w:t>
            </w: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ind w:firstLine="480"/>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 xml:space="preserve">       加盖投标人公章（或投标人法定代表人或其授权代表签字）</w:t>
            </w:r>
          </w:p>
        </w:tc>
      </w:tr>
    </w:tbl>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bCs/>
          <w:sz w:val="24"/>
          <w:szCs w:val="24"/>
          <w:highlight w:val="none"/>
          <w:u w:val="none"/>
          <w:lang w:val="en-US" w:eastAsia="zh-CN"/>
        </w:rPr>
        <w:br w:type="page"/>
      </w:r>
      <w:r>
        <w:rPr>
          <w:rFonts w:hint="eastAsia" w:ascii="Arial" w:hAnsi="Arial" w:cs="Arial"/>
          <w:b/>
          <w:bCs/>
          <w:sz w:val="24"/>
          <w:szCs w:val="24"/>
          <w:highlight w:val="none"/>
          <w:u w:val="none"/>
          <w:lang w:val="en-US" w:eastAsia="zh-CN"/>
        </w:rPr>
        <w:t>附件8</w:t>
      </w:r>
      <w:r>
        <w:rPr>
          <w:rFonts w:hint="eastAsia" w:ascii="Arial" w:hAnsi="Arial" w:cs="Arial"/>
          <w:b w:val="0"/>
          <w:bCs w:val="0"/>
          <w:sz w:val="24"/>
          <w:szCs w:val="24"/>
          <w:highlight w:val="none"/>
          <w:u w:val="none"/>
          <w:lang w:val="en-US" w:eastAsia="zh-CN"/>
        </w:rPr>
        <w:t xml:space="preserve">：    </w:t>
      </w:r>
    </w:p>
    <w:p>
      <w:pPr>
        <w:numPr>
          <w:numId w:val="0"/>
        </w:numPr>
        <w:jc w:val="both"/>
        <w:rPr>
          <w:rFonts w:hint="eastAsia" w:ascii="Arial" w:hAnsi="Arial" w:cs="Arial"/>
          <w:b w:val="0"/>
          <w:bCs w:val="0"/>
          <w:sz w:val="24"/>
          <w:szCs w:val="24"/>
          <w:highlight w:val="none"/>
          <w:u w:val="none"/>
          <w:lang w:val="en-US" w:eastAsia="zh-CN"/>
        </w:rPr>
      </w:pPr>
    </w:p>
    <w:p>
      <w:pPr>
        <w:spacing w:line="480" w:lineRule="exact"/>
        <w:jc w:val="center"/>
        <w:rPr>
          <w:rFonts w:hint="eastAsia" w:ascii="宋体" w:hAnsi="宋体"/>
          <w:b/>
          <w:sz w:val="32"/>
          <w:szCs w:val="32"/>
          <w:highlight w:val="none"/>
        </w:rPr>
      </w:pPr>
      <w:r>
        <w:rPr>
          <w:rFonts w:hint="eastAsia" w:ascii="宋体" w:hAnsi="宋体"/>
          <w:b/>
          <w:sz w:val="32"/>
          <w:szCs w:val="32"/>
          <w:highlight w:val="none"/>
        </w:rPr>
        <w:t>临沂市政府采购供应商反商业贿赂承诺书</w:t>
      </w:r>
    </w:p>
    <w:p>
      <w:pPr>
        <w:spacing w:line="360" w:lineRule="exact"/>
        <w:jc w:val="left"/>
        <w:rPr>
          <w:rFonts w:hint="eastAsia"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为贯彻落实中央和省市关于治理商业贿赂的有关精神，进一步净化政府采购市场、规范政府采购行为，共同营造和维护竞争有序的政府采购市场，我们作为参加市政府采购的供应商就反商业贿赂向社会郑重承诺：</w:t>
      </w:r>
      <w:r>
        <w:rPr>
          <w:rFonts w:hint="eastAsia" w:ascii="宋体" w:hAnsi="宋体"/>
          <w:sz w:val="24"/>
          <w:highlight w:val="none"/>
        </w:rPr>
        <w:br/>
      </w:r>
      <w:r>
        <w:rPr>
          <w:rFonts w:hint="eastAsia" w:ascii="宋体" w:hAnsi="宋体"/>
          <w:sz w:val="24"/>
          <w:highlight w:val="none"/>
        </w:rPr>
        <w:t xml:space="preserve">    一、认真学习并遵守国家相关的法律、法规及社会公德，树立质量为本的理念，诚实守信，依法参与政府采购活动，不搞不正当交易行为。</w:t>
      </w:r>
      <w:r>
        <w:rPr>
          <w:rFonts w:hint="eastAsia" w:ascii="宋体" w:hAnsi="宋体"/>
          <w:sz w:val="24"/>
          <w:highlight w:val="none"/>
        </w:rPr>
        <w:br/>
      </w:r>
      <w:r>
        <w:rPr>
          <w:rFonts w:hint="eastAsia" w:ascii="宋体" w:hAnsi="宋体"/>
          <w:sz w:val="24"/>
          <w:highlight w:val="none"/>
        </w:rPr>
        <w:t xml:space="preserve">    二、在政府采购活动中，自觉遵守政府采购的法律法规的规定，依法依规进行政府采购项目招投标及公平交易，建立投标诚信、价格诚信、合同诚信、履约诚信、服务诚信等诚信体系。</w:t>
      </w:r>
      <w:r>
        <w:rPr>
          <w:rFonts w:hint="eastAsia" w:ascii="宋体" w:hAnsi="宋体"/>
          <w:sz w:val="24"/>
          <w:highlight w:val="none"/>
        </w:rPr>
        <w:br/>
      </w:r>
      <w:r>
        <w:rPr>
          <w:rFonts w:hint="eastAsia" w:ascii="宋体" w:hAnsi="宋体"/>
          <w:sz w:val="24"/>
          <w:highlight w:val="none"/>
        </w:rPr>
        <w:t xml:space="preserve">    三、不弄虚作假，骗取政府采购供应商资格；不提供虚假资质文件谋取中标或成交；不出错、转让、出卖资质（资格）证书；不允许他人以本企业名义承接或承揽政府采购业务。</w:t>
      </w:r>
      <w:r>
        <w:rPr>
          <w:rFonts w:hint="eastAsia" w:ascii="宋体" w:hAnsi="宋体"/>
          <w:sz w:val="24"/>
          <w:highlight w:val="none"/>
        </w:rPr>
        <w:br/>
      </w:r>
      <w:r>
        <w:rPr>
          <w:rFonts w:hint="eastAsia" w:ascii="宋体" w:hAnsi="宋体"/>
          <w:sz w:val="24"/>
          <w:highlight w:val="none"/>
        </w:rPr>
        <w:t xml:space="preserve">    四、不采取“围标、陪标”等商业欺诈手段获得政府采购订单；不采取不正当手段诋毁、排挤其他供应商参与竞争。</w:t>
      </w:r>
      <w:r>
        <w:rPr>
          <w:rFonts w:hint="eastAsia" w:ascii="宋体" w:hAnsi="宋体"/>
          <w:sz w:val="24"/>
          <w:highlight w:val="none"/>
        </w:rPr>
        <w:br/>
      </w:r>
      <w:r>
        <w:rPr>
          <w:rFonts w:hint="eastAsia" w:ascii="宋体" w:hAnsi="宋体"/>
          <w:sz w:val="24"/>
          <w:highlight w:val="none"/>
        </w:rPr>
        <w:t xml:space="preserve">    五、在政府采购活动中，不与采购人、采购代理机构及其工作人员和其他供应商串通，损害国家利益、社会公共利益和其他相关人的合法权益。</w:t>
      </w:r>
      <w:r>
        <w:rPr>
          <w:rFonts w:hint="eastAsia" w:ascii="宋体" w:hAnsi="宋体"/>
          <w:sz w:val="24"/>
          <w:highlight w:val="none"/>
        </w:rPr>
        <w:br/>
      </w:r>
      <w:r>
        <w:rPr>
          <w:rFonts w:hint="eastAsia" w:ascii="宋体" w:hAnsi="宋体"/>
          <w:sz w:val="24"/>
          <w:highlight w:val="none"/>
        </w:rPr>
        <w:t xml:space="preserve">    六、不向采购人、采购代理机构工作人员、评审委员会成员及其他相关人员行贿或者采取其他不正当手段谋取不合法利益，具体包括：不得赠送礼金、礼品，有价证券、购物券、回扣、佣金、咨询费、劳务费、赞助费、宣传费以及支付旅游费用、报销各种消费凭证等。</w:t>
      </w:r>
      <w:r>
        <w:rPr>
          <w:rFonts w:hint="eastAsia" w:ascii="宋体" w:hAnsi="宋体"/>
          <w:sz w:val="24"/>
          <w:highlight w:val="none"/>
        </w:rPr>
        <w:br/>
      </w:r>
      <w:r>
        <w:rPr>
          <w:rFonts w:hint="eastAsia" w:ascii="宋体" w:hAnsi="宋体"/>
          <w:sz w:val="24"/>
          <w:highlight w:val="none"/>
        </w:rPr>
        <w:t xml:space="preserve">   七、按规定与采购人签订政府采购合同，并严格按合同履约，为采购人提供符合质量标准规定的货物、工程和服务，不销售冒牌、走私货物；不擅自变更或终止、转让、转包政府采购合同；主动配合政府采购项目的验收工作。</w:t>
      </w:r>
      <w:r>
        <w:rPr>
          <w:rFonts w:hint="eastAsia" w:ascii="宋体" w:hAnsi="宋体"/>
          <w:sz w:val="24"/>
          <w:highlight w:val="none"/>
        </w:rPr>
        <w:br/>
      </w:r>
      <w:r>
        <w:rPr>
          <w:rFonts w:hint="eastAsia" w:ascii="宋体" w:hAnsi="宋体"/>
          <w:sz w:val="24"/>
          <w:highlight w:val="none"/>
        </w:rPr>
        <w:t xml:space="preserve">   八、自觉接受政府采购监管部门的监督管理，积极配合检查和调查，并如实反映情况和提供材料。</w:t>
      </w:r>
      <w:r>
        <w:rPr>
          <w:rFonts w:hint="eastAsia" w:ascii="宋体" w:hAnsi="宋体"/>
          <w:sz w:val="24"/>
          <w:highlight w:val="none"/>
        </w:rPr>
        <w:br/>
      </w:r>
      <w:r>
        <w:rPr>
          <w:rFonts w:hint="eastAsia" w:ascii="宋体" w:hAnsi="宋体"/>
          <w:sz w:val="24"/>
          <w:highlight w:val="none"/>
        </w:rPr>
        <w:t xml:space="preserve">   我们将严格遵守上述承诺事项，自愿接受主管（监管）部门和社会各方面的监督，如有违反的，自愿接受执法执纪机关和监督管理部门的处理。</w:t>
      </w:r>
      <w:r>
        <w:rPr>
          <w:rFonts w:hint="eastAsia" w:ascii="宋体" w:hAnsi="宋体"/>
          <w:sz w:val="24"/>
          <w:highlight w:val="none"/>
        </w:rPr>
        <w:br/>
      </w:r>
      <w:r>
        <w:rPr>
          <w:rFonts w:hint="eastAsia" w:ascii="宋体" w:hAnsi="宋体"/>
          <w:sz w:val="24"/>
          <w:highlight w:val="none"/>
        </w:rPr>
        <w:t> </w:t>
      </w:r>
    </w:p>
    <w:p>
      <w:pPr>
        <w:spacing w:line="360" w:lineRule="exact"/>
        <w:ind w:left="181" w:leftChars="86" w:firstLine="480" w:firstLineChars="200"/>
        <w:rPr>
          <w:rFonts w:hint="eastAsia" w:ascii="宋体" w:hAnsi="宋体"/>
          <w:sz w:val="24"/>
          <w:highlight w:val="none"/>
        </w:rPr>
      </w:pPr>
    </w:p>
    <w:p>
      <w:pPr>
        <w:spacing w:line="360" w:lineRule="exact"/>
        <w:ind w:left="181" w:leftChars="86" w:firstLine="723" w:firstLineChars="200"/>
        <w:rPr>
          <w:rFonts w:hint="eastAsia" w:ascii="宋体" w:hAnsi="宋体"/>
          <w:b/>
          <w:sz w:val="36"/>
          <w:szCs w:val="36"/>
          <w:highlight w:val="none"/>
        </w:rPr>
      </w:pPr>
    </w:p>
    <w:p>
      <w:pPr>
        <w:spacing w:line="360" w:lineRule="exact"/>
        <w:ind w:left="120" w:hanging="120" w:hangingChars="50"/>
        <w:jc w:val="left"/>
        <w:rPr>
          <w:rFonts w:hint="eastAsia" w:ascii="宋体" w:hAnsi="宋体"/>
          <w:sz w:val="24"/>
          <w:highlight w:val="none"/>
        </w:rPr>
      </w:pPr>
      <w:r>
        <w:rPr>
          <w:rFonts w:hint="eastAsia" w:ascii="宋体" w:hAnsi="宋体"/>
          <w:sz w:val="24"/>
          <w:highlight w:val="none"/>
        </w:rPr>
        <w:t>  承诺单位：（公章）</w:t>
      </w:r>
      <w:r>
        <w:rPr>
          <w:rFonts w:hint="eastAsia" w:ascii="宋体" w:hAnsi="宋体"/>
          <w:sz w:val="24"/>
          <w:highlight w:val="none"/>
        </w:rPr>
        <w:br/>
      </w:r>
      <w:r>
        <w:rPr>
          <w:rFonts w:hint="eastAsia" w:ascii="宋体" w:hAnsi="宋体"/>
          <w:sz w:val="24"/>
          <w:highlight w:val="none"/>
        </w:rPr>
        <w:t> 法定代表人或委托代理人：</w:t>
      </w:r>
      <w:r>
        <w:rPr>
          <w:rFonts w:hint="eastAsia" w:ascii="宋体" w:hAnsi="宋体"/>
          <w:sz w:val="24"/>
          <w:highlight w:val="none"/>
        </w:rPr>
        <w:br/>
      </w:r>
      <w:r>
        <w:rPr>
          <w:rFonts w:hint="eastAsia" w:ascii="宋体" w:hAnsi="宋体"/>
          <w:sz w:val="24"/>
          <w:highlight w:val="none"/>
        </w:rPr>
        <w:t xml:space="preserve">                </w:t>
      </w:r>
    </w:p>
    <w:p>
      <w:pPr>
        <w:spacing w:line="360" w:lineRule="exact"/>
        <w:jc w:val="left"/>
        <w:rPr>
          <w:rFonts w:hint="eastAsia" w:ascii="宋体" w:hAnsi="宋体"/>
          <w:sz w:val="24"/>
          <w:highlight w:val="none"/>
        </w:rPr>
      </w:pPr>
    </w:p>
    <w:p>
      <w:pPr>
        <w:spacing w:line="360" w:lineRule="exact"/>
        <w:ind w:firstLine="7200" w:firstLineChars="3000"/>
        <w:rPr>
          <w:rFonts w:hint="eastAsia" w:ascii="宋体" w:hAnsi="宋体"/>
          <w:sz w:val="24"/>
          <w:highlight w:val="none"/>
        </w:rPr>
      </w:pPr>
      <w:r>
        <w:rPr>
          <w:rFonts w:hint="eastAsia" w:ascii="宋体" w:hAnsi="宋体"/>
          <w:sz w:val="24"/>
          <w:highlight w:val="none"/>
        </w:rPr>
        <w:t xml:space="preserve"> 年  月  日</w:t>
      </w:r>
    </w:p>
    <w:p>
      <w:pPr>
        <w:numPr>
          <w:numId w:val="0"/>
        </w:numPr>
        <w:jc w:val="both"/>
        <w:rPr>
          <w:rFonts w:hint="eastAsia" w:ascii="Arial" w:hAnsi="Arial" w:cs="Arial"/>
          <w:b/>
          <w:bCs/>
          <w:sz w:val="24"/>
          <w:szCs w:val="24"/>
          <w:highlight w:val="none"/>
          <w:u w:val="none"/>
          <w:lang w:val="en-US" w:eastAsia="zh-CN"/>
        </w:rPr>
      </w:pPr>
    </w:p>
    <w:p>
      <w:pPr>
        <w:numPr>
          <w:numId w:val="0"/>
        </w:numPr>
        <w:jc w:val="both"/>
        <w:rPr>
          <w:rFonts w:hint="eastAsia" w:ascii="Arial" w:hAnsi="Arial" w:cs="Arial"/>
          <w:b/>
          <w:bCs/>
          <w:sz w:val="24"/>
          <w:szCs w:val="24"/>
          <w:highlight w:val="none"/>
          <w:u w:val="none"/>
          <w:lang w:val="en-US" w:eastAsia="zh-CN"/>
        </w:rPr>
      </w:pPr>
    </w:p>
    <w:p>
      <w:pPr>
        <w:numPr>
          <w:numId w:val="0"/>
        </w:numPr>
        <w:jc w:val="both"/>
        <w:rPr>
          <w:rFonts w:hint="eastAsia" w:ascii="Arial" w:hAnsi="Arial" w:cs="Arial"/>
          <w:b/>
          <w:bCs/>
          <w:sz w:val="24"/>
          <w:szCs w:val="24"/>
          <w:highlight w:val="none"/>
          <w:u w:val="none"/>
          <w:lang w:val="en-US" w:eastAsia="zh-CN"/>
        </w:rPr>
      </w:pPr>
    </w:p>
    <w:p>
      <w:pPr>
        <w:numPr>
          <w:numId w:val="0"/>
        </w:numPr>
        <w:jc w:val="both"/>
        <w:rPr>
          <w:rFonts w:hint="eastAsia" w:ascii="Arial" w:hAnsi="Arial" w:cs="Arial"/>
          <w:b/>
          <w:bCs/>
          <w:sz w:val="24"/>
          <w:szCs w:val="24"/>
          <w:highlight w:val="none"/>
          <w:u w:val="none"/>
          <w:lang w:val="en-US" w:eastAsia="zh-CN"/>
        </w:rPr>
      </w:pPr>
      <w:r>
        <w:rPr>
          <w:rFonts w:hint="eastAsia" w:ascii="Arial" w:hAnsi="Arial" w:cs="Arial"/>
          <w:b/>
          <w:bCs/>
          <w:sz w:val="24"/>
          <w:szCs w:val="24"/>
          <w:highlight w:val="none"/>
          <w:u w:val="none"/>
          <w:lang w:val="en-US" w:eastAsia="zh-CN"/>
        </w:rPr>
        <w:br w:type="page"/>
      </w:r>
    </w:p>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bCs/>
          <w:sz w:val="24"/>
          <w:szCs w:val="24"/>
          <w:highlight w:val="none"/>
          <w:u w:val="none"/>
          <w:lang w:val="en-US" w:eastAsia="zh-CN"/>
        </w:rPr>
        <w:t xml:space="preserve">附件9 </w:t>
      </w:r>
      <w:r>
        <w:rPr>
          <w:rFonts w:hint="eastAsia" w:ascii="Arial" w:hAnsi="Arial" w:cs="Arial"/>
          <w:b w:val="0"/>
          <w:bCs w:val="0"/>
          <w:sz w:val="24"/>
          <w:szCs w:val="24"/>
          <w:highlight w:val="none"/>
          <w:u w:val="none"/>
          <w:lang w:val="en-US" w:eastAsia="zh-CN"/>
        </w:rPr>
        <w:t xml:space="preserve">   </w:t>
      </w: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spacing w:line="360" w:lineRule="auto"/>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 xml:space="preserve">                                  退还保证金格式</w:t>
      </w:r>
    </w:p>
    <w:p>
      <w:pPr>
        <w:numPr>
          <w:numId w:val="0"/>
        </w:numPr>
        <w:spacing w:line="360" w:lineRule="auto"/>
        <w:jc w:val="both"/>
        <w:rPr>
          <w:rFonts w:hint="eastAsia" w:ascii="Arial" w:hAnsi="Arial" w:cs="Arial"/>
          <w:b w:val="0"/>
          <w:bCs w:val="0"/>
          <w:sz w:val="24"/>
          <w:szCs w:val="24"/>
          <w:highlight w:val="none"/>
          <w:u w:val="single"/>
          <w:lang w:val="en-US" w:eastAsia="zh-CN"/>
        </w:rPr>
      </w:pPr>
      <w:r>
        <w:rPr>
          <w:rFonts w:hint="eastAsia" w:ascii="Arial" w:hAnsi="Arial" w:cs="Arial"/>
          <w:b w:val="0"/>
          <w:bCs w:val="0"/>
          <w:sz w:val="24"/>
          <w:szCs w:val="24"/>
          <w:highlight w:val="none"/>
          <w:u w:val="none"/>
          <w:lang w:val="en-US" w:eastAsia="zh-CN"/>
        </w:rPr>
        <w:t>致：</w:t>
      </w:r>
      <w:r>
        <w:rPr>
          <w:rFonts w:hint="eastAsia" w:ascii="Arial" w:hAnsi="Arial" w:cs="Arial"/>
          <w:b w:val="0"/>
          <w:bCs w:val="0"/>
          <w:sz w:val="24"/>
          <w:szCs w:val="24"/>
          <w:highlight w:val="none"/>
          <w:u w:val="single"/>
          <w:lang w:val="en-US" w:eastAsia="zh-CN"/>
        </w:rPr>
        <w:t xml:space="preserve">（  招标代理公司 ）   </w:t>
      </w:r>
    </w:p>
    <w:p>
      <w:pPr>
        <w:numPr>
          <w:numId w:val="0"/>
        </w:numPr>
        <w:spacing w:line="360" w:lineRule="auto"/>
        <w:ind w:firstLine="480"/>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我公司于</w:t>
      </w:r>
      <w:r>
        <w:rPr>
          <w:rFonts w:hint="eastAsia" w:ascii="Arial" w:hAnsi="Arial" w:cs="Arial"/>
          <w:b w:val="0"/>
          <w:bCs w:val="0"/>
          <w:sz w:val="24"/>
          <w:szCs w:val="24"/>
          <w:highlight w:val="none"/>
          <w:u w:val="single"/>
          <w:lang w:val="en-US" w:eastAsia="zh-CN"/>
        </w:rPr>
        <w:t xml:space="preserve">     </w:t>
      </w:r>
      <w:r>
        <w:rPr>
          <w:rFonts w:hint="eastAsia" w:ascii="Arial" w:hAnsi="Arial" w:cs="Arial"/>
          <w:b w:val="0"/>
          <w:bCs w:val="0"/>
          <w:sz w:val="24"/>
          <w:szCs w:val="24"/>
          <w:highlight w:val="none"/>
          <w:u w:val="none"/>
          <w:lang w:val="en-US" w:eastAsia="zh-CN"/>
        </w:rPr>
        <w:t>年</w:t>
      </w:r>
      <w:r>
        <w:rPr>
          <w:rFonts w:hint="eastAsia" w:ascii="Arial" w:hAnsi="Arial" w:cs="Arial"/>
          <w:b w:val="0"/>
          <w:bCs w:val="0"/>
          <w:sz w:val="24"/>
          <w:szCs w:val="24"/>
          <w:highlight w:val="none"/>
          <w:u w:val="single"/>
          <w:lang w:val="en-US" w:eastAsia="zh-CN"/>
        </w:rPr>
        <w:t xml:space="preserve">     </w:t>
      </w:r>
      <w:r>
        <w:rPr>
          <w:rFonts w:hint="eastAsia" w:ascii="Arial" w:hAnsi="Arial" w:cs="Arial"/>
          <w:b w:val="0"/>
          <w:bCs w:val="0"/>
          <w:sz w:val="24"/>
          <w:szCs w:val="24"/>
          <w:highlight w:val="none"/>
          <w:u w:val="none"/>
          <w:lang w:val="en-US" w:eastAsia="zh-CN"/>
        </w:rPr>
        <w:t>月</w:t>
      </w:r>
      <w:r>
        <w:rPr>
          <w:rFonts w:hint="eastAsia" w:ascii="Arial" w:hAnsi="Arial" w:cs="Arial"/>
          <w:b w:val="0"/>
          <w:bCs w:val="0"/>
          <w:sz w:val="24"/>
          <w:szCs w:val="24"/>
          <w:highlight w:val="none"/>
          <w:u w:val="single"/>
          <w:lang w:val="en-US" w:eastAsia="zh-CN"/>
        </w:rPr>
        <w:t xml:space="preserve">     </w:t>
      </w:r>
      <w:r>
        <w:rPr>
          <w:rFonts w:hint="eastAsia" w:ascii="Arial" w:hAnsi="Arial" w:cs="Arial"/>
          <w:b w:val="0"/>
          <w:bCs w:val="0"/>
          <w:sz w:val="24"/>
          <w:szCs w:val="24"/>
          <w:highlight w:val="none"/>
          <w:u w:val="none"/>
          <w:lang w:val="en-US" w:eastAsia="zh-CN"/>
        </w:rPr>
        <w:t xml:space="preserve">日将投标保证金 </w:t>
      </w:r>
      <w:r>
        <w:rPr>
          <w:rFonts w:hint="eastAsia" w:ascii="Arial" w:hAnsi="Arial" w:cs="Arial"/>
          <w:b w:val="0"/>
          <w:bCs w:val="0"/>
          <w:sz w:val="24"/>
          <w:szCs w:val="24"/>
          <w:highlight w:val="none"/>
          <w:u w:val="single"/>
          <w:lang w:val="en-US" w:eastAsia="zh-CN"/>
        </w:rPr>
        <w:t xml:space="preserve">     </w:t>
      </w:r>
      <w:r>
        <w:rPr>
          <w:rFonts w:hint="eastAsia" w:ascii="Arial" w:hAnsi="Arial" w:cs="Arial"/>
          <w:b w:val="0"/>
          <w:bCs w:val="0"/>
          <w:sz w:val="24"/>
          <w:szCs w:val="24"/>
          <w:highlight w:val="none"/>
          <w:u w:val="none"/>
          <w:lang w:val="en-US" w:eastAsia="zh-CN"/>
        </w:rPr>
        <w:t>元以</w:t>
      </w:r>
      <w:r>
        <w:rPr>
          <w:rFonts w:hint="eastAsia" w:ascii="Arial" w:hAnsi="Arial" w:cs="Arial"/>
          <w:b w:val="0"/>
          <w:bCs w:val="0"/>
          <w:sz w:val="24"/>
          <w:szCs w:val="24"/>
          <w:highlight w:val="none"/>
          <w:u w:val="single"/>
          <w:lang w:val="en-US" w:eastAsia="zh-CN"/>
        </w:rPr>
        <w:t xml:space="preserve">    </w:t>
      </w:r>
      <w:r>
        <w:rPr>
          <w:rFonts w:hint="eastAsia" w:ascii="Arial" w:hAnsi="Arial" w:cs="Arial"/>
          <w:b w:val="0"/>
          <w:bCs w:val="0"/>
          <w:sz w:val="24"/>
          <w:szCs w:val="24"/>
          <w:highlight w:val="none"/>
          <w:u w:val="none"/>
          <w:lang w:val="en-US" w:eastAsia="zh-CN"/>
        </w:rPr>
        <w:t>方式     汇入投标保证金交纳账户，参加招标编号为</w:t>
      </w:r>
      <w:r>
        <w:rPr>
          <w:rFonts w:hint="eastAsia" w:ascii="Arial" w:hAnsi="Arial" w:cs="Arial"/>
          <w:b w:val="0"/>
          <w:bCs w:val="0"/>
          <w:sz w:val="24"/>
          <w:szCs w:val="24"/>
          <w:highlight w:val="none"/>
          <w:u w:val="single"/>
          <w:lang w:val="en-US" w:eastAsia="zh-CN"/>
        </w:rPr>
        <w:t xml:space="preserve">        </w:t>
      </w:r>
      <w:r>
        <w:rPr>
          <w:rFonts w:hint="eastAsia" w:ascii="Arial" w:hAnsi="Arial" w:cs="Arial"/>
          <w:b w:val="0"/>
          <w:bCs w:val="0"/>
          <w:sz w:val="24"/>
          <w:szCs w:val="24"/>
          <w:highlight w:val="none"/>
          <w:u w:val="none"/>
          <w:lang w:val="en-US" w:eastAsia="zh-CN"/>
        </w:rPr>
        <w:t>项目的招标采购。贵公司在办理投标保证金退换手续时请汇入或存入以下账户（单位开户行及账号）：</w:t>
      </w:r>
    </w:p>
    <w:p>
      <w:pPr>
        <w:numPr>
          <w:numId w:val="0"/>
        </w:numPr>
        <w:spacing w:line="360" w:lineRule="auto"/>
        <w:ind w:firstLine="480"/>
        <w:jc w:val="both"/>
        <w:rPr>
          <w:rFonts w:hint="eastAsia" w:ascii="Arial" w:hAnsi="Arial" w:cs="Arial"/>
          <w:b w:val="0"/>
          <w:bCs w:val="0"/>
          <w:sz w:val="24"/>
          <w:szCs w:val="24"/>
          <w:highlight w:val="none"/>
          <w:u w:val="none"/>
          <w:lang w:val="en-US" w:eastAsia="zh-CN"/>
        </w:rPr>
      </w:pPr>
    </w:p>
    <w:p>
      <w:pPr>
        <w:numPr>
          <w:numId w:val="0"/>
        </w:numPr>
        <w:ind w:firstLine="480"/>
        <w:jc w:val="both"/>
        <w:rPr>
          <w:rFonts w:hint="eastAsia" w:ascii="Arial" w:hAnsi="Arial" w:cs="Arial"/>
          <w:b w:val="0"/>
          <w:bCs w:val="0"/>
          <w:sz w:val="24"/>
          <w:szCs w:val="24"/>
          <w:highlight w:val="none"/>
          <w:u w:val="none"/>
          <w:lang w:val="en-US" w:eastAsia="zh-CN"/>
        </w:rPr>
      </w:pPr>
    </w:p>
    <w:tbl>
      <w:tblPr>
        <w:tblW w:w="9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2474"/>
        <w:gridCol w:w="2116"/>
        <w:gridCol w:w="1293"/>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934" w:type="dxa"/>
            <w:vMerge w:val="restart"/>
            <w:vAlign w:val="center"/>
          </w:tcPr>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收</w:t>
            </w:r>
          </w:p>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款</w:t>
            </w:r>
          </w:p>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人</w:t>
            </w:r>
          </w:p>
        </w:tc>
        <w:tc>
          <w:tcPr>
            <w:tcW w:w="8415" w:type="dxa"/>
            <w:gridSpan w:val="4"/>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收款人名称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934" w:type="dxa"/>
            <w:vMerge w:val="continue"/>
            <w:vAlign w:val="center"/>
          </w:tcPr>
          <w:p>
            <w:pPr>
              <w:numPr>
                <w:numId w:val="0"/>
              </w:numPr>
              <w:jc w:val="both"/>
              <w:rPr>
                <w:rFonts w:hint="eastAsia" w:ascii="Arial" w:hAnsi="Arial" w:cs="Arial"/>
                <w:b w:val="0"/>
                <w:bCs w:val="0"/>
                <w:sz w:val="24"/>
                <w:szCs w:val="24"/>
                <w:highlight w:val="none"/>
                <w:u w:val="none"/>
                <w:lang w:val="en-US" w:eastAsia="zh-CN"/>
              </w:rPr>
            </w:pPr>
          </w:p>
        </w:tc>
        <w:tc>
          <w:tcPr>
            <w:tcW w:w="2474" w:type="dxa"/>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收款人地址</w:t>
            </w:r>
          </w:p>
        </w:tc>
        <w:tc>
          <w:tcPr>
            <w:tcW w:w="2116"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293"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2532" w:type="dxa"/>
            <w:vAlign w:val="center"/>
          </w:tcPr>
          <w:p>
            <w:pPr>
              <w:numPr>
                <w:numId w:val="0"/>
              </w:numPr>
              <w:jc w:val="both"/>
              <w:rPr>
                <w:rFonts w:hint="eastAsia" w:ascii="Arial" w:hAnsi="Arial" w:cs="Arial"/>
                <w:b w:val="0"/>
                <w:bCs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7" w:hRule="atLeast"/>
        </w:trPr>
        <w:tc>
          <w:tcPr>
            <w:tcW w:w="934" w:type="dxa"/>
            <w:vMerge w:val="continue"/>
            <w:vAlign w:val="center"/>
          </w:tcPr>
          <w:p>
            <w:pPr>
              <w:numPr>
                <w:numId w:val="0"/>
              </w:numPr>
              <w:jc w:val="both"/>
              <w:rPr>
                <w:rFonts w:hint="eastAsia" w:ascii="Arial" w:hAnsi="Arial" w:cs="Arial"/>
                <w:b w:val="0"/>
                <w:bCs w:val="0"/>
                <w:sz w:val="24"/>
                <w:szCs w:val="24"/>
                <w:highlight w:val="none"/>
                <w:u w:val="none"/>
                <w:lang w:val="en-US" w:eastAsia="zh-CN"/>
              </w:rPr>
            </w:pPr>
          </w:p>
        </w:tc>
        <w:tc>
          <w:tcPr>
            <w:tcW w:w="2474" w:type="dxa"/>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开户银行</w:t>
            </w:r>
          </w:p>
        </w:tc>
        <w:tc>
          <w:tcPr>
            <w:tcW w:w="2116"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293" w:type="dxa"/>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联系人</w:t>
            </w:r>
          </w:p>
        </w:tc>
        <w:tc>
          <w:tcPr>
            <w:tcW w:w="2532" w:type="dxa"/>
            <w:vAlign w:val="center"/>
          </w:tcPr>
          <w:p>
            <w:pPr>
              <w:numPr>
                <w:numId w:val="0"/>
              </w:numPr>
              <w:jc w:val="both"/>
              <w:rPr>
                <w:rFonts w:hint="eastAsia" w:ascii="Arial" w:hAnsi="Arial" w:cs="Arial"/>
                <w:b w:val="0"/>
                <w:bCs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934" w:type="dxa"/>
            <w:vMerge w:val="continue"/>
            <w:vAlign w:val="center"/>
          </w:tcPr>
          <w:p>
            <w:pPr>
              <w:numPr>
                <w:numId w:val="0"/>
              </w:numPr>
              <w:jc w:val="both"/>
              <w:rPr>
                <w:rFonts w:hint="eastAsia" w:ascii="Arial" w:hAnsi="Arial" w:cs="Arial"/>
                <w:b w:val="0"/>
                <w:bCs w:val="0"/>
                <w:sz w:val="24"/>
                <w:szCs w:val="24"/>
                <w:highlight w:val="none"/>
                <w:u w:val="none"/>
                <w:lang w:val="en-US" w:eastAsia="zh-CN"/>
              </w:rPr>
            </w:pPr>
          </w:p>
        </w:tc>
        <w:tc>
          <w:tcPr>
            <w:tcW w:w="2474" w:type="dxa"/>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账号</w:t>
            </w:r>
          </w:p>
        </w:tc>
        <w:tc>
          <w:tcPr>
            <w:tcW w:w="2116" w:type="dxa"/>
            <w:vAlign w:val="center"/>
          </w:tcPr>
          <w:p>
            <w:pPr>
              <w:numPr>
                <w:numId w:val="0"/>
              </w:numPr>
              <w:jc w:val="both"/>
              <w:rPr>
                <w:rFonts w:hint="eastAsia" w:ascii="Arial" w:hAnsi="Arial" w:cs="Arial"/>
                <w:b w:val="0"/>
                <w:bCs w:val="0"/>
                <w:sz w:val="24"/>
                <w:szCs w:val="24"/>
                <w:highlight w:val="none"/>
                <w:u w:val="none"/>
                <w:lang w:val="en-US" w:eastAsia="zh-CN"/>
              </w:rPr>
            </w:pPr>
          </w:p>
        </w:tc>
        <w:tc>
          <w:tcPr>
            <w:tcW w:w="1293" w:type="dxa"/>
            <w:vAlign w:val="center"/>
          </w:tcPr>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联系电话</w:t>
            </w:r>
          </w:p>
        </w:tc>
        <w:tc>
          <w:tcPr>
            <w:tcW w:w="2532" w:type="dxa"/>
            <w:vAlign w:val="center"/>
          </w:tcPr>
          <w:p>
            <w:pPr>
              <w:numPr>
                <w:numId w:val="0"/>
              </w:numPr>
              <w:jc w:val="both"/>
              <w:rPr>
                <w:rFonts w:hint="eastAsia" w:ascii="Arial" w:hAnsi="Arial" w:cs="Arial"/>
                <w:b w:val="0"/>
                <w:bCs w:val="0"/>
                <w:sz w:val="24"/>
                <w:szCs w:val="24"/>
                <w:highlight w:val="none"/>
                <w:u w:val="none"/>
                <w:lang w:val="en-US" w:eastAsia="zh-CN"/>
              </w:rPr>
            </w:pPr>
          </w:p>
        </w:tc>
      </w:tr>
    </w:tbl>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 xml:space="preserve">    </w:t>
      </w: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 xml:space="preserve">                           投标人（公章）：</w:t>
      </w:r>
      <w:r>
        <w:rPr>
          <w:rFonts w:hint="eastAsia" w:ascii="Arial" w:hAnsi="Arial" w:cs="Arial"/>
          <w:b w:val="0"/>
          <w:bCs w:val="0"/>
          <w:sz w:val="24"/>
          <w:szCs w:val="24"/>
          <w:highlight w:val="none"/>
          <w:u w:val="single"/>
          <w:lang w:val="en-US" w:eastAsia="zh-CN"/>
        </w:rPr>
        <w:t xml:space="preserve">                       </w:t>
      </w:r>
    </w:p>
    <w:p>
      <w:pPr>
        <w:numPr>
          <w:numId w:val="0"/>
        </w:numPr>
        <w:jc w:val="both"/>
        <w:rPr>
          <w:rFonts w:hint="eastAsia" w:ascii="Arial" w:hAnsi="Arial" w:cs="Arial"/>
          <w:b w:val="0"/>
          <w:bCs w:val="0"/>
          <w:sz w:val="24"/>
          <w:szCs w:val="24"/>
          <w:highlight w:val="none"/>
          <w:u w:val="none"/>
          <w:lang w:val="en-US" w:eastAsia="zh-CN"/>
        </w:rPr>
      </w:pPr>
    </w:p>
    <w:p>
      <w:pPr>
        <w:numPr>
          <w:numId w:val="0"/>
        </w:numPr>
        <w:jc w:val="both"/>
        <w:rPr>
          <w:rFonts w:hint="eastAsia" w:ascii="Arial" w:hAnsi="Arial" w:cs="Arial"/>
          <w:b w:val="0"/>
          <w:bCs w:val="0"/>
          <w:sz w:val="24"/>
          <w:szCs w:val="24"/>
          <w:highlight w:val="none"/>
          <w:u w:val="none"/>
          <w:lang w:val="en-US" w:eastAsia="zh-CN"/>
        </w:rPr>
      </w:pPr>
      <w:r>
        <w:rPr>
          <w:rFonts w:hint="eastAsia" w:ascii="Arial" w:hAnsi="Arial" w:cs="Arial"/>
          <w:b w:val="0"/>
          <w:bCs w:val="0"/>
          <w:sz w:val="24"/>
          <w:szCs w:val="24"/>
          <w:highlight w:val="none"/>
          <w:u w:val="none"/>
          <w:lang w:val="en-US" w:eastAsia="zh-CN"/>
        </w:rPr>
        <w:t xml:space="preserve">                                年       月       日</w:t>
      </w: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Times New Roman" w:hAnsi="Times New Roman" w:eastAsia="宋体" w:cs="Times New Roman"/>
        <w:kern w:val="2"/>
        <w:sz w:val="18"/>
        <w:szCs w:val="22"/>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91278687">
    <w:nsid w:val="58E31B5F"/>
    <w:multiLevelType w:val="singleLevel"/>
    <w:tmpl w:val="58E31B5F"/>
    <w:lvl w:ilvl="0" w:tentative="1">
      <w:start w:val="3"/>
      <w:numFmt w:val="decimal"/>
      <w:suff w:val="nothing"/>
      <w:lvlText w:val="%1)"/>
      <w:lvlJc w:val="left"/>
    </w:lvl>
  </w:abstractNum>
  <w:abstractNum w:abstractNumId="1491278068">
    <w:nsid w:val="58E318F4"/>
    <w:multiLevelType w:val="singleLevel"/>
    <w:tmpl w:val="58E318F4"/>
    <w:lvl w:ilvl="0" w:tentative="1">
      <w:start w:val="2"/>
      <w:numFmt w:val="decimal"/>
      <w:suff w:val="space"/>
      <w:lvlText w:val="%1)"/>
      <w:lvlJc w:val="left"/>
    </w:lvl>
  </w:abstractNum>
  <w:abstractNum w:abstractNumId="1476173036">
    <w:nsid w:val="57FC9CEC"/>
    <w:multiLevelType w:val="singleLevel"/>
    <w:tmpl w:val="57FC9CEC"/>
    <w:lvl w:ilvl="0" w:tentative="1">
      <w:start w:val="1"/>
      <w:numFmt w:val="chineseCounting"/>
      <w:suff w:val="space"/>
      <w:lvlText w:val="第%1章"/>
      <w:lvlJc w:val="left"/>
    </w:lvl>
  </w:abstractNum>
  <w:abstractNum w:abstractNumId="1474881998">
    <w:nsid w:val="57E8E9CE"/>
    <w:multiLevelType w:val="singleLevel"/>
    <w:tmpl w:val="57E8E9CE"/>
    <w:lvl w:ilvl="0" w:tentative="1">
      <w:start w:val="1"/>
      <w:numFmt w:val="decimal"/>
      <w:suff w:val="nothing"/>
      <w:lvlText w:val="%1."/>
      <w:lvlJc w:val="left"/>
    </w:lvl>
  </w:abstractNum>
  <w:abstractNum w:abstractNumId="1474871269">
    <w:nsid w:val="57E8BFE5"/>
    <w:multiLevelType w:val="singleLevel"/>
    <w:tmpl w:val="57E8BFE5"/>
    <w:lvl w:ilvl="0" w:tentative="1">
      <w:start w:val="1"/>
      <w:numFmt w:val="decimal"/>
      <w:suff w:val="nothing"/>
      <w:lvlText w:val="%1、"/>
      <w:lvlJc w:val="left"/>
    </w:lvl>
  </w:abstractNum>
  <w:abstractNum w:abstractNumId="1474870958">
    <w:nsid w:val="57E8BEAE"/>
    <w:multiLevelType w:val="singleLevel"/>
    <w:tmpl w:val="57E8BEAE"/>
    <w:lvl w:ilvl="0" w:tentative="1">
      <w:start w:val="5"/>
      <w:numFmt w:val="chineseCounting"/>
      <w:suff w:val="nothing"/>
      <w:lvlText w:val="%1、"/>
      <w:lvlJc w:val="left"/>
    </w:lvl>
  </w:abstractNum>
  <w:abstractNum w:abstractNumId="1474872958">
    <w:nsid w:val="57E8C67E"/>
    <w:multiLevelType w:val="singleLevel"/>
    <w:tmpl w:val="57E8C67E"/>
    <w:lvl w:ilvl="0" w:tentative="1">
      <w:start w:val="1"/>
      <w:numFmt w:val="decimal"/>
      <w:suff w:val="nothing"/>
      <w:lvlText w:val="%1、"/>
      <w:lvlJc w:val="left"/>
    </w:lvl>
  </w:abstractNum>
  <w:abstractNum w:abstractNumId="1474881793">
    <w:nsid w:val="57E8E901"/>
    <w:multiLevelType w:val="singleLevel"/>
    <w:tmpl w:val="57E8E901"/>
    <w:lvl w:ilvl="0" w:tentative="1">
      <w:start w:val="5"/>
      <w:numFmt w:val="chineseCounting"/>
      <w:suff w:val="space"/>
      <w:lvlText w:val="第%1章"/>
      <w:lvlJc w:val="left"/>
    </w:lvl>
  </w:abstractNum>
  <w:abstractNum w:abstractNumId="1474872492">
    <w:nsid w:val="57E8C4AC"/>
    <w:multiLevelType w:val="singleLevel"/>
    <w:tmpl w:val="57E8C4AC"/>
    <w:lvl w:ilvl="0" w:tentative="1">
      <w:start w:val="14"/>
      <w:numFmt w:val="chineseCounting"/>
      <w:suff w:val="nothing"/>
      <w:lvlText w:val="%1、"/>
      <w:lvlJc w:val="left"/>
    </w:lvl>
  </w:abstractNum>
  <w:abstractNum w:abstractNumId="1474871928">
    <w:nsid w:val="57E8C278"/>
    <w:multiLevelType w:val="singleLevel"/>
    <w:tmpl w:val="57E8C278"/>
    <w:lvl w:ilvl="0" w:tentative="1">
      <w:start w:val="1"/>
      <w:numFmt w:val="decimal"/>
      <w:suff w:val="nothing"/>
      <w:lvlText w:val="%1、"/>
      <w:lvlJc w:val="left"/>
    </w:lvl>
  </w:abstractNum>
  <w:abstractNum w:abstractNumId="10">
    <w:nsid w:val="0000000A"/>
    <w:multiLevelType w:val="singleLevel"/>
    <w:tmpl w:val="0000000A"/>
    <w:lvl w:ilvl="0" w:tentative="1">
      <w:start w:val="1"/>
      <w:numFmt w:val="chineseCounting"/>
      <w:suff w:val="nothing"/>
      <w:lvlText w:val="%1、"/>
      <w:lvlJc w:val="left"/>
    </w:lvl>
  </w:abstractNum>
  <w:abstractNum w:abstractNumId="1474870981">
    <w:nsid w:val="57E8BEC5"/>
    <w:multiLevelType w:val="singleLevel"/>
    <w:tmpl w:val="57E8BEC5"/>
    <w:lvl w:ilvl="0" w:tentative="1">
      <w:start w:val="1"/>
      <w:numFmt w:val="decimal"/>
      <w:suff w:val="nothing"/>
      <w:lvlText w:val="%1、"/>
      <w:lvlJc w:val="left"/>
    </w:lvl>
  </w:abstractNum>
  <w:abstractNum w:abstractNumId="1474871752">
    <w:nsid w:val="57E8C1C8"/>
    <w:multiLevelType w:val="singleLevel"/>
    <w:tmpl w:val="57E8C1C8"/>
    <w:lvl w:ilvl="0" w:tentative="1">
      <w:start w:val="12"/>
      <w:numFmt w:val="chineseCounting"/>
      <w:suff w:val="nothing"/>
      <w:lvlText w:val="%1、"/>
      <w:lvlJc w:val="left"/>
    </w:lvl>
  </w:abstractNum>
  <w:abstractNum w:abstractNumId="1474871117">
    <w:nsid w:val="57E8BF4D"/>
    <w:multiLevelType w:val="singleLevel"/>
    <w:tmpl w:val="57E8BF4D"/>
    <w:lvl w:ilvl="0" w:tentative="1">
      <w:start w:val="6"/>
      <w:numFmt w:val="chineseCounting"/>
      <w:suff w:val="nothing"/>
      <w:lvlText w:val="%1、"/>
      <w:lvlJc w:val="left"/>
    </w:lvl>
  </w:abstractNum>
  <w:abstractNum w:abstractNumId="1474871551">
    <w:nsid w:val="57E8C0FF"/>
    <w:multiLevelType w:val="singleLevel"/>
    <w:tmpl w:val="57E8C0FF"/>
    <w:lvl w:ilvl="0" w:tentative="1">
      <w:start w:val="1"/>
      <w:numFmt w:val="decimal"/>
      <w:suff w:val="nothing"/>
      <w:lvlText w:val="%1、"/>
      <w:lvlJc w:val="left"/>
    </w:lvl>
  </w:abstractNum>
  <w:abstractNum w:abstractNumId="1474871609">
    <w:nsid w:val="57E8C139"/>
    <w:multiLevelType w:val="singleLevel"/>
    <w:tmpl w:val="57E8C139"/>
    <w:lvl w:ilvl="0" w:tentative="1">
      <w:start w:val="11"/>
      <w:numFmt w:val="chineseCounting"/>
      <w:suff w:val="nothing"/>
      <w:lvlText w:val="%1、"/>
      <w:lvlJc w:val="left"/>
    </w:lvl>
  </w:abstractNum>
  <w:abstractNum w:abstractNumId="1474871305">
    <w:nsid w:val="57E8C009"/>
    <w:multiLevelType w:val="singleLevel"/>
    <w:tmpl w:val="57E8C009"/>
    <w:lvl w:ilvl="0" w:tentative="1">
      <w:start w:val="9"/>
      <w:numFmt w:val="chineseCounting"/>
      <w:suff w:val="nothing"/>
      <w:lvlText w:val="%1、"/>
      <w:lvlJc w:val="left"/>
    </w:lvl>
  </w:abstractNum>
  <w:abstractNum w:abstractNumId="1474871664">
    <w:nsid w:val="57E8C170"/>
    <w:multiLevelType w:val="singleLevel"/>
    <w:tmpl w:val="57E8C170"/>
    <w:lvl w:ilvl="0" w:tentative="1">
      <w:start w:val="1"/>
      <w:numFmt w:val="decimal"/>
      <w:suff w:val="nothing"/>
      <w:lvlText w:val="%1、"/>
      <w:lvlJc w:val="left"/>
    </w:lvl>
  </w:abstractNum>
  <w:abstractNum w:abstractNumId="1474873037">
    <w:nsid w:val="57E8C6CD"/>
    <w:multiLevelType w:val="singleLevel"/>
    <w:tmpl w:val="57E8C6CD"/>
    <w:lvl w:ilvl="0" w:tentative="1">
      <w:start w:val="18"/>
      <w:numFmt w:val="chineseCounting"/>
      <w:suff w:val="nothing"/>
      <w:lvlText w:val="%1、"/>
      <w:lvlJc w:val="left"/>
    </w:lvl>
  </w:abstractNum>
  <w:abstractNum w:abstractNumId="1491279520">
    <w:nsid w:val="58E31EA0"/>
    <w:multiLevelType w:val="singleLevel"/>
    <w:tmpl w:val="58E31EA0"/>
    <w:lvl w:ilvl="0" w:tentative="1">
      <w:start w:val="1"/>
      <w:numFmt w:val="decimal"/>
      <w:suff w:val="nothing"/>
      <w:lvlText w:val="（%1）"/>
      <w:lvlJc w:val="left"/>
    </w:lvl>
  </w:abstractNum>
  <w:abstractNum w:abstractNumId="1491374510">
    <w:nsid w:val="58E491AE"/>
    <w:multiLevelType w:val="singleLevel"/>
    <w:tmpl w:val="58E491AE"/>
    <w:lvl w:ilvl="0" w:tentative="1">
      <w:start w:val="1"/>
      <w:numFmt w:val="decimal"/>
      <w:suff w:val="nothing"/>
      <w:lvlText w:val="%1."/>
      <w:lvlJc w:val="left"/>
    </w:lvl>
  </w:abstractNum>
  <w:abstractNum w:abstractNumId="1506388375">
    <w:nsid w:val="59C9A997"/>
    <w:multiLevelType w:val="singleLevel"/>
    <w:tmpl w:val="59C9A997"/>
    <w:lvl w:ilvl="0" w:tentative="1">
      <w:start w:val="4"/>
      <w:numFmt w:val="decimal"/>
      <w:suff w:val="nothing"/>
      <w:lvlText w:val="%1."/>
      <w:lvlJc w:val="left"/>
    </w:lvl>
  </w:abstractNum>
  <w:abstractNum w:abstractNumId="12">
    <w:nsid w:val="0000000C"/>
    <w:multiLevelType w:val="multilevel"/>
    <w:tmpl w:val="0000000C"/>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1320"/>
        </w:tabs>
        <w:ind w:left="1320" w:hanging="420"/>
      </w:pPr>
    </w:lvl>
    <w:lvl w:ilvl="2" w:tentative="1">
      <w:start w:val="1"/>
      <w:numFmt w:val="lowerRoman"/>
      <w:lvlText w:val="%3."/>
      <w:lvlJc w:val="right"/>
      <w:pPr>
        <w:tabs>
          <w:tab w:val="left" w:pos="1740"/>
        </w:tabs>
        <w:ind w:left="1740" w:hanging="420"/>
      </w:pPr>
    </w:lvl>
    <w:lvl w:ilvl="3" w:tentative="1">
      <w:start w:val="1"/>
      <w:numFmt w:val="decimal"/>
      <w:lvlText w:val="%4."/>
      <w:lvlJc w:val="left"/>
      <w:pPr>
        <w:tabs>
          <w:tab w:val="left" w:pos="2160"/>
        </w:tabs>
        <w:ind w:left="2160" w:hanging="420"/>
      </w:pPr>
    </w:lvl>
    <w:lvl w:ilvl="4" w:tentative="1">
      <w:start w:val="1"/>
      <w:numFmt w:val="lowerLetter"/>
      <w:lvlText w:val="%5)"/>
      <w:lvlJc w:val="left"/>
      <w:pPr>
        <w:tabs>
          <w:tab w:val="left" w:pos="2580"/>
        </w:tabs>
        <w:ind w:left="2580" w:hanging="420"/>
      </w:pPr>
    </w:lvl>
    <w:lvl w:ilvl="5" w:tentative="1">
      <w:start w:val="1"/>
      <w:numFmt w:val="lowerRoman"/>
      <w:lvlText w:val="%6."/>
      <w:lvlJc w:val="right"/>
      <w:pPr>
        <w:tabs>
          <w:tab w:val="left" w:pos="3000"/>
        </w:tabs>
        <w:ind w:left="3000" w:hanging="420"/>
      </w:pPr>
    </w:lvl>
    <w:lvl w:ilvl="6" w:tentative="1">
      <w:start w:val="1"/>
      <w:numFmt w:val="decimal"/>
      <w:lvlText w:val="%7."/>
      <w:lvlJc w:val="left"/>
      <w:pPr>
        <w:tabs>
          <w:tab w:val="left" w:pos="3420"/>
        </w:tabs>
        <w:ind w:left="3420" w:hanging="420"/>
      </w:pPr>
    </w:lvl>
    <w:lvl w:ilvl="7" w:tentative="1">
      <w:start w:val="1"/>
      <w:numFmt w:val="lowerLetter"/>
      <w:lvlText w:val="%8)"/>
      <w:lvlJc w:val="left"/>
      <w:pPr>
        <w:tabs>
          <w:tab w:val="left" w:pos="3840"/>
        </w:tabs>
        <w:ind w:left="3840" w:hanging="420"/>
      </w:pPr>
    </w:lvl>
    <w:lvl w:ilvl="8" w:tentative="1">
      <w:start w:val="1"/>
      <w:numFmt w:val="lowerRoman"/>
      <w:lvlText w:val="%9."/>
      <w:lvlJc w:val="right"/>
      <w:pPr>
        <w:tabs>
          <w:tab w:val="left" w:pos="4260"/>
        </w:tabs>
        <w:ind w:left="4260" w:hanging="420"/>
      </w:pPr>
    </w:lvl>
  </w:abstractNum>
  <w:abstractNum w:abstractNumId="35">
    <w:nsid w:val="00000023"/>
    <w:multiLevelType w:val="multilevel"/>
    <w:tmpl w:val="00000023"/>
    <w:lvl w:ilvl="0" w:tentative="1">
      <w:start w:val="1"/>
      <w:numFmt w:val="decimal"/>
      <w:lvlText w:val="%1)"/>
      <w:lvlJc w:val="left"/>
      <w:pPr>
        <w:tabs>
          <w:tab w:val="left" w:pos="900"/>
        </w:tabs>
        <w:ind w:left="900" w:hanging="420"/>
      </w:pPr>
    </w:lvl>
    <w:lvl w:ilvl="1" w:tentative="1">
      <w:start w:val="1"/>
      <w:numFmt w:val="lowerLetter"/>
      <w:lvlText w:val="%2)"/>
      <w:lvlJc w:val="left"/>
      <w:pPr>
        <w:tabs>
          <w:tab w:val="left" w:pos="1320"/>
        </w:tabs>
        <w:ind w:left="1320" w:hanging="420"/>
      </w:pPr>
    </w:lvl>
    <w:lvl w:ilvl="2" w:tentative="1">
      <w:start w:val="1"/>
      <w:numFmt w:val="lowerLetter"/>
      <w:lvlText w:val="%3)"/>
      <w:lvlJc w:val="left"/>
      <w:pPr>
        <w:tabs>
          <w:tab w:val="left" w:pos="1320"/>
        </w:tabs>
        <w:ind w:left="1320" w:hanging="420"/>
      </w:pPr>
    </w:lvl>
    <w:lvl w:ilvl="3" w:tentative="1">
      <w:start w:val="1"/>
      <w:numFmt w:val="decimal"/>
      <w:lvlText w:val="%4."/>
      <w:lvlJc w:val="left"/>
      <w:pPr>
        <w:tabs>
          <w:tab w:val="left" w:pos="2160"/>
        </w:tabs>
        <w:ind w:left="2160" w:hanging="420"/>
      </w:pPr>
    </w:lvl>
    <w:lvl w:ilvl="4" w:tentative="1">
      <w:start w:val="1"/>
      <w:numFmt w:val="lowerLetter"/>
      <w:lvlText w:val="%5)"/>
      <w:lvlJc w:val="left"/>
      <w:pPr>
        <w:tabs>
          <w:tab w:val="left" w:pos="2580"/>
        </w:tabs>
        <w:ind w:left="2580" w:hanging="420"/>
      </w:pPr>
    </w:lvl>
    <w:lvl w:ilvl="5" w:tentative="1">
      <w:start w:val="1"/>
      <w:numFmt w:val="lowerRoman"/>
      <w:lvlText w:val="%6."/>
      <w:lvlJc w:val="right"/>
      <w:pPr>
        <w:tabs>
          <w:tab w:val="left" w:pos="3000"/>
        </w:tabs>
        <w:ind w:left="3000" w:hanging="420"/>
      </w:pPr>
    </w:lvl>
    <w:lvl w:ilvl="6" w:tentative="1">
      <w:start w:val="1"/>
      <w:numFmt w:val="decimal"/>
      <w:lvlText w:val="%7."/>
      <w:lvlJc w:val="left"/>
      <w:pPr>
        <w:tabs>
          <w:tab w:val="left" w:pos="3420"/>
        </w:tabs>
        <w:ind w:left="3420" w:hanging="420"/>
      </w:pPr>
    </w:lvl>
    <w:lvl w:ilvl="7" w:tentative="1">
      <w:start w:val="1"/>
      <w:numFmt w:val="lowerLetter"/>
      <w:lvlText w:val="%8)"/>
      <w:lvlJc w:val="left"/>
      <w:pPr>
        <w:tabs>
          <w:tab w:val="left" w:pos="3840"/>
        </w:tabs>
        <w:ind w:left="3840" w:hanging="420"/>
      </w:pPr>
    </w:lvl>
    <w:lvl w:ilvl="8" w:tentative="1">
      <w:start w:val="1"/>
      <w:numFmt w:val="lowerRoman"/>
      <w:lvlText w:val="%9."/>
      <w:lvlJc w:val="right"/>
      <w:pPr>
        <w:tabs>
          <w:tab w:val="left" w:pos="4260"/>
        </w:tabs>
        <w:ind w:left="4260" w:hanging="420"/>
      </w:pPr>
    </w:lvl>
  </w:abstractNum>
  <w:abstractNum w:abstractNumId="1474616652">
    <w:nsid w:val="57E4DD4C"/>
    <w:multiLevelType w:val="singleLevel"/>
    <w:tmpl w:val="57E4DD4C"/>
    <w:lvl w:ilvl="0" w:tentative="1">
      <w:start w:val="1"/>
      <w:numFmt w:val="chineseCounting"/>
      <w:suff w:val="space"/>
      <w:lvlText w:val="第%1章"/>
      <w:lvlJc w:val="left"/>
    </w:lvl>
  </w:abstractNum>
  <w:abstractNum w:abstractNumId="1474622523">
    <w:nsid w:val="57E4F43B"/>
    <w:multiLevelType w:val="singleLevel"/>
    <w:tmpl w:val="57E4F43B"/>
    <w:lvl w:ilvl="0" w:tentative="1">
      <w:start w:val="8"/>
      <w:numFmt w:val="decimal"/>
      <w:suff w:val="nothing"/>
      <w:lvlText w:val="%1."/>
      <w:lvlJc w:val="left"/>
    </w:lvl>
  </w:abstractNum>
  <w:abstractNum w:abstractNumId="1474622773">
    <w:nsid w:val="57E4F535"/>
    <w:multiLevelType w:val="singleLevel"/>
    <w:tmpl w:val="57E4F535"/>
    <w:lvl w:ilvl="0" w:tentative="1">
      <w:start w:val="1"/>
      <w:numFmt w:val="decimal"/>
      <w:suff w:val="nothing"/>
      <w:lvlText w:val="%1）"/>
      <w:lvlJc w:val="left"/>
    </w:lvl>
  </w:abstractNum>
  <w:abstractNum w:abstractNumId="1474623214">
    <w:nsid w:val="57E4F6EE"/>
    <w:multiLevelType w:val="singleLevel"/>
    <w:tmpl w:val="57E4F6EE"/>
    <w:lvl w:ilvl="0" w:tentative="1">
      <w:start w:val="9"/>
      <w:numFmt w:val="decimal"/>
      <w:suff w:val="nothing"/>
      <w:lvlText w:val="%1."/>
      <w:lvlJc w:val="left"/>
    </w:lvl>
  </w:abstractNum>
  <w:abstractNum w:abstractNumId="1474623375">
    <w:nsid w:val="57E4F78F"/>
    <w:multiLevelType w:val="singleLevel"/>
    <w:tmpl w:val="57E4F78F"/>
    <w:lvl w:ilvl="0" w:tentative="1">
      <w:start w:val="1"/>
      <w:numFmt w:val="decimal"/>
      <w:suff w:val="nothing"/>
      <w:lvlText w:val="%1）"/>
      <w:lvlJc w:val="left"/>
    </w:lvl>
  </w:abstractNum>
  <w:abstractNum w:abstractNumId="1474623400">
    <w:nsid w:val="57E4F7A8"/>
    <w:multiLevelType w:val="singleLevel"/>
    <w:tmpl w:val="57E4F7A8"/>
    <w:lvl w:ilvl="0" w:tentative="1">
      <w:start w:val="1"/>
      <w:numFmt w:val="chineseCounting"/>
      <w:suff w:val="space"/>
      <w:lvlText w:val="第%1章"/>
      <w:lvlJc w:val="left"/>
    </w:lvl>
  </w:abstractNum>
  <w:abstractNum w:abstractNumId="1474623641">
    <w:nsid w:val="57E4F899"/>
    <w:multiLevelType w:val="singleLevel"/>
    <w:tmpl w:val="57E4F899"/>
    <w:lvl w:ilvl="0" w:tentative="1">
      <w:start w:val="2"/>
      <w:numFmt w:val="decimal"/>
      <w:suff w:val="nothing"/>
      <w:lvlText w:val="%1）"/>
      <w:lvlJc w:val="left"/>
    </w:lvl>
  </w:abstractNum>
  <w:abstractNum w:abstractNumId="1474627050">
    <w:nsid w:val="57E505EA"/>
    <w:multiLevelType w:val="singleLevel"/>
    <w:tmpl w:val="57E505EA"/>
    <w:lvl w:ilvl="0" w:tentative="1">
      <w:start w:val="5"/>
      <w:numFmt w:val="decimal"/>
      <w:suff w:val="nothing"/>
      <w:lvlText w:val="%1）"/>
      <w:lvlJc w:val="left"/>
    </w:lvl>
  </w:abstractNum>
  <w:abstractNum w:abstractNumId="1474850125">
    <w:nsid w:val="57E86D4D"/>
    <w:multiLevelType w:val="singleLevel"/>
    <w:tmpl w:val="57E86D4D"/>
    <w:lvl w:ilvl="0" w:tentative="1">
      <w:start w:val="13"/>
      <w:numFmt w:val="decimal"/>
      <w:suff w:val="nothing"/>
      <w:lvlText w:val="%1."/>
      <w:lvlJc w:val="left"/>
    </w:lvl>
  </w:abstractNum>
  <w:abstractNum w:abstractNumId="1474850510">
    <w:nsid w:val="57E86ECE"/>
    <w:multiLevelType w:val="singleLevel"/>
    <w:tmpl w:val="57E86ECE"/>
    <w:lvl w:ilvl="0" w:tentative="1">
      <w:start w:val="14"/>
      <w:numFmt w:val="decimal"/>
      <w:suff w:val="nothing"/>
      <w:lvlText w:val="%1."/>
      <w:lvlJc w:val="left"/>
    </w:lvl>
  </w:abstractNum>
  <w:abstractNum w:abstractNumId="1474852720">
    <w:nsid w:val="57E87770"/>
    <w:multiLevelType w:val="singleLevel"/>
    <w:tmpl w:val="57E87770"/>
    <w:lvl w:ilvl="0" w:tentative="1">
      <w:start w:val="1"/>
      <w:numFmt w:val="decimal"/>
      <w:suff w:val="nothing"/>
      <w:lvlText w:val="%1）"/>
      <w:lvlJc w:val="left"/>
    </w:lvl>
  </w:abstractNum>
  <w:abstractNum w:abstractNumId="1474852780">
    <w:nsid w:val="57E877AC"/>
    <w:multiLevelType w:val="singleLevel"/>
    <w:tmpl w:val="57E877AC"/>
    <w:lvl w:ilvl="0" w:tentative="1">
      <w:start w:val="1"/>
      <w:numFmt w:val="decimal"/>
      <w:suff w:val="nothing"/>
      <w:lvlText w:val="%1）"/>
      <w:lvlJc w:val="left"/>
    </w:lvl>
  </w:abstractNum>
  <w:abstractNum w:abstractNumId="1474853207">
    <w:nsid w:val="57E87957"/>
    <w:multiLevelType w:val="singleLevel"/>
    <w:tmpl w:val="57E87957"/>
    <w:lvl w:ilvl="0" w:tentative="1">
      <w:start w:val="1"/>
      <w:numFmt w:val="decimal"/>
      <w:suff w:val="nothing"/>
      <w:lvlText w:val="%1）"/>
      <w:lvlJc w:val="left"/>
    </w:lvl>
  </w:abstractNum>
  <w:abstractNum w:abstractNumId="1474862785">
    <w:nsid w:val="57E89EC1"/>
    <w:multiLevelType w:val="singleLevel"/>
    <w:tmpl w:val="57E89EC1"/>
    <w:lvl w:ilvl="0" w:tentative="1">
      <w:start w:val="1"/>
      <w:numFmt w:val="decimal"/>
      <w:suff w:val="nothing"/>
      <w:lvlText w:val="（%1）"/>
      <w:lvlJc w:val="left"/>
    </w:lvl>
  </w:abstractNum>
  <w:abstractNum w:abstractNumId="1474862868">
    <w:nsid w:val="57E89F14"/>
    <w:multiLevelType w:val="singleLevel"/>
    <w:tmpl w:val="57E89F14"/>
    <w:lvl w:ilvl="0" w:tentative="1">
      <w:start w:val="28"/>
      <w:numFmt w:val="decimal"/>
      <w:suff w:val="nothing"/>
      <w:lvlText w:val="%1."/>
      <w:lvlJc w:val="left"/>
    </w:lvl>
  </w:abstractNum>
  <w:abstractNum w:abstractNumId="1474870428">
    <w:nsid w:val="57E8BC9C"/>
    <w:multiLevelType w:val="singleLevel"/>
    <w:tmpl w:val="57E8BC9C"/>
    <w:lvl w:ilvl="0" w:tentative="1">
      <w:start w:val="1"/>
      <w:numFmt w:val="chineseCounting"/>
      <w:suff w:val="nothing"/>
      <w:lvlText w:val="%1、"/>
      <w:lvlJc w:val="left"/>
    </w:lvl>
  </w:abstractNum>
  <w:abstractNum w:abstractNumId="1474870446">
    <w:nsid w:val="57E8BCAE"/>
    <w:multiLevelType w:val="singleLevel"/>
    <w:tmpl w:val="57E8BCAE"/>
    <w:lvl w:ilvl="0" w:tentative="1">
      <w:start w:val="1"/>
      <w:numFmt w:val="decimal"/>
      <w:suff w:val="nothing"/>
      <w:lvlText w:val="%1、"/>
      <w:lvlJc w:val="left"/>
    </w:lvl>
  </w:abstractNum>
  <w:abstractNum w:abstractNumId="1474870506">
    <w:nsid w:val="57E8BCEA"/>
    <w:multiLevelType w:val="singleLevel"/>
    <w:tmpl w:val="57E8BCEA"/>
    <w:lvl w:ilvl="0" w:tentative="1">
      <w:start w:val="2"/>
      <w:numFmt w:val="chineseCounting"/>
      <w:suff w:val="nothing"/>
      <w:lvlText w:val="%1、"/>
      <w:lvlJc w:val="left"/>
    </w:lvl>
  </w:abstractNum>
  <w:abstractNum w:abstractNumId="1474870766">
    <w:nsid w:val="57E8BDEE"/>
    <w:multiLevelType w:val="singleLevel"/>
    <w:tmpl w:val="57E8BDEE"/>
    <w:lvl w:ilvl="0" w:tentative="1">
      <w:start w:val="2"/>
      <w:numFmt w:val="decimal"/>
      <w:suff w:val="nothing"/>
      <w:lvlText w:val="（%1）"/>
      <w:lvlJc w:val="left"/>
    </w:lvl>
  </w:abstractNum>
  <w:num w:numId="1">
    <w:abstractNumId w:val="1476173036"/>
  </w:num>
  <w:num w:numId="2">
    <w:abstractNumId w:val="1474616652"/>
  </w:num>
  <w:num w:numId="3">
    <w:abstractNumId w:val="1506388375"/>
  </w:num>
  <w:num w:numId="4">
    <w:abstractNumId w:val="1474622523"/>
  </w:num>
  <w:num w:numId="5">
    <w:abstractNumId w:val="1474622773"/>
  </w:num>
  <w:num w:numId="6">
    <w:abstractNumId w:val="1474623214"/>
  </w:num>
  <w:num w:numId="7">
    <w:abstractNumId w:val="1474623375"/>
  </w:num>
  <w:num w:numId="8">
    <w:abstractNumId w:val="1474623400"/>
  </w:num>
  <w:num w:numId="9">
    <w:abstractNumId w:val="1474623641"/>
  </w:num>
  <w:num w:numId="10">
    <w:abstractNumId w:val="1474627050"/>
  </w:num>
  <w:num w:numId="11">
    <w:abstractNumId w:val="1474850125"/>
  </w:num>
  <w:num w:numId="12">
    <w:abstractNumId w:val="1474850510"/>
  </w:num>
  <w:num w:numId="13">
    <w:abstractNumId w:val="1474852720"/>
  </w:num>
  <w:num w:numId="14">
    <w:abstractNumId w:val="1474852780"/>
  </w:num>
  <w:num w:numId="15">
    <w:abstractNumId w:val="1474853207"/>
  </w:num>
  <w:num w:numId="16">
    <w:abstractNumId w:val="12"/>
  </w:num>
  <w:num w:numId="17">
    <w:abstractNumId w:val="1491278068"/>
  </w:num>
  <w:num w:numId="18">
    <w:abstractNumId w:val="35"/>
  </w:num>
  <w:num w:numId="19">
    <w:abstractNumId w:val="1491278687"/>
  </w:num>
  <w:num w:numId="20">
    <w:abstractNumId w:val="1474862785"/>
  </w:num>
  <w:num w:numId="21">
    <w:abstractNumId w:val="1474862868"/>
  </w:num>
  <w:num w:numId="22">
    <w:abstractNumId w:val="10"/>
  </w:num>
  <w:num w:numId="23">
    <w:abstractNumId w:val="1491374510"/>
  </w:num>
  <w:num w:numId="24">
    <w:abstractNumId w:val="1474870428"/>
  </w:num>
  <w:num w:numId="25">
    <w:abstractNumId w:val="1474870446"/>
  </w:num>
  <w:num w:numId="26">
    <w:abstractNumId w:val="1474870506"/>
  </w:num>
  <w:num w:numId="27">
    <w:abstractNumId w:val="1474870766"/>
  </w:num>
  <w:num w:numId="28">
    <w:abstractNumId w:val="1474870958"/>
  </w:num>
  <w:num w:numId="29">
    <w:abstractNumId w:val="1474870981"/>
  </w:num>
  <w:num w:numId="30">
    <w:abstractNumId w:val="1474871117"/>
  </w:num>
  <w:num w:numId="31">
    <w:abstractNumId w:val="1474871269"/>
  </w:num>
  <w:num w:numId="32">
    <w:abstractNumId w:val="1474871305"/>
  </w:num>
  <w:num w:numId="33">
    <w:abstractNumId w:val="1474871551"/>
  </w:num>
  <w:num w:numId="34">
    <w:abstractNumId w:val="1474871609"/>
  </w:num>
  <w:num w:numId="35">
    <w:abstractNumId w:val="1474871664"/>
  </w:num>
  <w:num w:numId="36">
    <w:abstractNumId w:val="1474871752"/>
  </w:num>
  <w:num w:numId="37">
    <w:abstractNumId w:val="1474871928"/>
  </w:num>
  <w:num w:numId="38">
    <w:abstractNumId w:val="1474872492"/>
  </w:num>
  <w:num w:numId="39">
    <w:abstractNumId w:val="1491279520"/>
  </w:num>
  <w:num w:numId="40">
    <w:abstractNumId w:val="1474872958"/>
  </w:num>
  <w:num w:numId="41">
    <w:abstractNumId w:val="1474873037"/>
  </w:num>
  <w:num w:numId="42">
    <w:abstractNumId w:val="1474881793"/>
  </w:num>
  <w:num w:numId="43">
    <w:abstractNumId w:val="14748819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link w:val="7"/>
    <w:semiHidden/>
    <w:qFormat/>
    <w:uiPriority w:val="0"/>
    <w:rPr>
      <w:rFonts w:ascii="Tahoma" w:hAnsi="Tahoma"/>
      <w:bCs/>
      <w:kern w:val="2"/>
      <w:sz w:val="24"/>
      <w:szCs w:val="20"/>
    </w:r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 Char Char Char Char Char Char Char Char Char1 Char"/>
    <w:basedOn w:val="2"/>
    <w:link w:val="6"/>
    <w:uiPriority w:val="0"/>
    <w:pPr>
      <w:snapToGrid w:val="0"/>
      <w:spacing w:before="240" w:after="240" w:line="348" w:lineRule="auto"/>
    </w:pPr>
    <w:rPr>
      <w:rFonts w:ascii="Tahoma" w:hAnsi="Tahoma"/>
      <w:bCs w:val="0"/>
      <w:kern w:val="2"/>
      <w:sz w:val="24"/>
      <w:szCs w:val="20"/>
    </w:rPr>
  </w:style>
  <w:style w:type="character" w:styleId="8">
    <w:name w:val="page number"/>
    <w:basedOn w:val="6"/>
    <w:uiPriority w:val="0"/>
    <w:rPr/>
  </w:style>
  <w:style w:type="paragraph" w:customStyle="1" w:styleId="9">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image" Target="media/image1.jpeg"/><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textRotate="1"/>
    <customShpInfo spid="_x0000_s1029" textRotate="1"/>
    <customShpInfo spid="_x0000_s1030" textRotate="1"/>
    <customShpInfo spid="_x0000_s1031" textRotate="1"/>
    <customShpInfo spid="_x0000_s1032" textRotate="1"/>
    <customShpInfo spid="_x0000_s1033" textRotate="1"/>
    <customShpInfo spid="_x0000_s1034" textRotate="1"/>
    <customShpInfo spid="_x0000_s1035" textRotate="1"/>
    <customShpInfo spid="_x0000_s1036" textRotate="1"/>
    <customShpInfo spid="_x0000_s1037" textRotate="1"/>
    <customShpInfo spid="_x0000_s1038" textRotate="1"/>
    <customShpInfo spid="_x0000_s1039" textRotate="1"/>
    <customShpInfo spid="_x0000_s1040" textRotate="1"/>
    <customShpInfo spid="_x0000_s104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2016-09-23T06:54:00Z</dcterms:created>
  <dc:creator>杨亚东</dc:creator>
  <cp:lastModifiedBy>Administrator</cp:lastModifiedBy>
  <cp:lastPrinted>2017-04-05T00:50:00Z</cp:lastPrinted>
  <dcterms:modified xsi:type="dcterms:W3CDTF">2017-10-08T03:24:39Z</dcterms:modified>
  <dc:title>临沂市兰山区朱保镇卫生院医疗污水处理系统采购项目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