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z w:val="24"/>
        </w:rPr>
        <w:t xml:space="preserve"> </w:t>
      </w:r>
      <w:r>
        <w:rPr>
          <w:rStyle w:val="5"/>
          <w:rFonts w:ascii="宋体" w:hAnsi="宋体" w:eastAsia="宋体" w:cs="宋体"/>
          <w:spacing w:val="0"/>
          <w:sz w:val="72"/>
          <w:szCs w:val="72"/>
        </w:rPr>
        <w:t>福建省政府采购</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72"/>
          <w:szCs w:val="72"/>
        </w:rPr>
        <w:t>货物和服务项目</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72"/>
          <w:szCs w:val="72"/>
        </w:rPr>
        <w:t>公开招标文件</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72"/>
          <w:szCs w:val="72"/>
        </w:rPr>
        <w:t>     </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36"/>
          <w:szCs w:val="36"/>
        </w:rPr>
        <w:t> </w:t>
      </w: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1050"/>
        <w:jc w:val="center"/>
      </w:pPr>
      <w:r>
        <w:rPr>
          <w:rStyle w:val="5"/>
          <w:rFonts w:hint="eastAsia" w:ascii="宋体" w:hAnsi="宋体" w:eastAsia="宋体" w:cs="宋体"/>
          <w:spacing w:val="0"/>
          <w:sz w:val="30"/>
          <w:szCs w:val="30"/>
        </w:rPr>
        <w:t>项目名称：长乐区营前街道村庄污水入户管网一期工程项目</w:t>
      </w: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1050"/>
        <w:jc w:val="center"/>
      </w:pPr>
      <w:r>
        <w:rPr>
          <w:rStyle w:val="5"/>
          <w:rFonts w:hint="eastAsia" w:ascii="宋体" w:hAnsi="宋体" w:eastAsia="宋体" w:cs="宋体"/>
          <w:spacing w:val="0"/>
          <w:sz w:val="30"/>
          <w:szCs w:val="30"/>
        </w:rPr>
        <w:t>备案编号：A7-CLSYQ-GK-201809-B2591-IDN</w:t>
      </w: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1050"/>
        <w:jc w:val="center"/>
      </w:pPr>
      <w:r>
        <w:rPr>
          <w:rStyle w:val="5"/>
          <w:rFonts w:hint="eastAsia" w:ascii="宋体" w:hAnsi="宋体" w:eastAsia="宋体" w:cs="宋体"/>
          <w:spacing w:val="0"/>
          <w:sz w:val="30"/>
          <w:szCs w:val="30"/>
        </w:rPr>
        <w:t>招标编号：[350182]FJXH[GK]2018016</w:t>
      </w: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7"/>
          <w:szCs w:val="27"/>
        </w:rPr>
        <w:t>采购人：</w:t>
      </w:r>
      <w:r>
        <w:rPr>
          <w:spacing w:val="0"/>
          <w:sz w:val="27"/>
          <w:szCs w:val="27"/>
        </w:rPr>
        <w:t> </w:t>
      </w:r>
      <w:r>
        <w:rPr>
          <w:rStyle w:val="5"/>
          <w:rFonts w:hint="eastAsia" w:ascii="宋体" w:hAnsi="宋体" w:eastAsia="宋体" w:cs="宋体"/>
          <w:spacing w:val="0"/>
          <w:sz w:val="28"/>
          <w:szCs w:val="28"/>
        </w:rPr>
        <w:t>福州市长乐区人民政府营前街道办事处</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8"/>
          <w:szCs w:val="28"/>
        </w:rPr>
        <w:t>代理机构：福州信豪工程造价咨询有限公司</w:t>
      </w: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line="360" w:lineRule="atLeast"/>
        <w:ind w:left="0" w:right="720" w:firstLine="0"/>
        <w:jc w:val="center"/>
      </w:pPr>
      <w:r>
        <w:rPr>
          <w:rStyle w:val="5"/>
          <w:rFonts w:hint="eastAsia" w:ascii="宋体" w:hAnsi="宋体" w:eastAsia="宋体" w:cs="宋体"/>
          <w:spacing w:val="0"/>
          <w:sz w:val="28"/>
          <w:szCs w:val="28"/>
        </w:rPr>
        <w:t>2018年09月</w:t>
      </w:r>
    </w:p>
    <w:p>
      <w:pPr>
        <w:pStyle w:val="3"/>
        <w:keepNext w:val="0"/>
        <w:keepLines w:val="0"/>
        <w:widowControl/>
        <w:suppressLineNumbers w:val="0"/>
        <w:spacing w:before="75" w:beforeAutospacing="0" w:after="75" w:afterAutospacing="0"/>
        <w:ind w:left="0" w:right="0" w:firstLine="0"/>
        <w:jc w:val="center"/>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第一章</w:t>
      </w:r>
      <w:r>
        <w:rPr>
          <w:rStyle w:val="5"/>
          <w:spacing w:val="0"/>
          <w:sz w:val="31"/>
          <w:szCs w:val="31"/>
        </w:rPr>
        <w:t>   </w:t>
      </w:r>
      <w:r>
        <w:rPr>
          <w:rStyle w:val="5"/>
          <w:rFonts w:hint="eastAsia" w:ascii="宋体" w:hAnsi="宋体" w:eastAsia="宋体" w:cs="宋体"/>
          <w:spacing w:val="0"/>
          <w:sz w:val="31"/>
          <w:szCs w:val="31"/>
        </w:rPr>
        <w:t>投标邀请</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长乐区营前街道村庄污水入户管网一期工程项目</w:t>
      </w:r>
      <w:r>
        <w:rPr>
          <w:rFonts w:hint="eastAsia" w:ascii="宋体" w:hAnsi="宋体" w:eastAsia="宋体" w:cs="宋体"/>
          <w:spacing w:val="0"/>
          <w:sz w:val="24"/>
          <w:szCs w:val="24"/>
        </w:rPr>
        <w:t>（以下简称：“本项目”）的政府采购活动，现邀请供应商参加投标。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A7-CLSYQ-GK-201809-B2591-IDN</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[350182]FJXH[GK]2018016</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5、需要落实的政府采购政策：(1)财政部、工信部《政府采购促进中小企业发展暂行办法》财库〔2011〕181号。(2)《福建省省级政府集中采购目录及限额标准》闽财购〔2015〕38号。(3) 财政部、民政部、中国残疾人联合会印发的《三部门联合发布关于促进残疾人就业政府采购政策的通知》财库〔2017〕141号。(4)《国务院办公厅关于建立政府强制采购节能产品制度的通知》国办发[2007]51号。（5）财政部、国家发展和改革委员会发布的《节能产品政府采购实施意见》财库[2004]185号。（6）《财政部 国家发展和改革委员会关于调整公布最新一期节能产品政府采购清单的通知》财库。（7）《财政部 环境保护部关于调整公布最新一期环境标志产品政府采购清单的通知》。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37"/>
        <w:gridCol w:w="4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3737" w:type="dxa"/>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68" w:type="dxa"/>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6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1、提供办公场所的产地证明材料（属于自有产权的提供产权证复印件；非自有产权的提供产地租赁合同复印件；2、提供负责本项目的主要人员的名单、联系方式。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456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3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投标人须提供参加政府采购活动前在环境保护领域没有存在严重失信行为的书面声明；</w:t>
            </w:r>
          </w:p>
        </w:tc>
        <w:tc>
          <w:tcPr>
            <w:tcW w:w="456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参加政府采购活动前在环境保护领域没有存在严重失信行为的书面声明。是指提交“参加政府采购活动前在环境保护领域没有存在严重失信行为的书面声明函”。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资质证书</w:t>
            </w:r>
          </w:p>
        </w:tc>
        <w:tc>
          <w:tcPr>
            <w:tcW w:w="456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投标人须具备建设行政主管部门核发的有效的环保工程专业承包三级及以上资质和建筑机电安装工程专业承包三级及以上资质，并具备有效的《施工企业安全生产许可证》。需在投标文件中提供证书复印件。</w:t>
            </w:r>
          </w:p>
        </w:tc>
      </w:tr>
    </w:tbl>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※根据上述资格要求，投标文件中应提交的“投标人的资格及资信证明文件”详见招标文件第四章。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5"/>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5"/>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5"/>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12、采购人：福州市长乐区人民政府营前街道办事处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地址：长乐市营前街道联合里82号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联系方法：15750857271</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13、代理机构：福州信豪工程造价咨询有限公司</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地址：福州市晋安区鼓山镇浦乾路303号金辉东景C区二期（御景家园）47#楼1层16店面-2</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联系方法：0591-83579283</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91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1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15" w:type="dxa"/>
        </w:trPr>
        <w:tc>
          <w:tcPr>
            <w:tcW w:w="90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59" w:hRule="atLeast"/>
          <w:tblCellSpacing w:w="15" w:type="dxa"/>
        </w:trPr>
        <w:tc>
          <w:tcPr>
            <w:tcW w:w="90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福州信豪工程造价咨询有限公司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6" w:hRule="atLeast"/>
          <w:tblCellSpacing w:w="15" w:type="dxa"/>
        </w:trPr>
        <w:tc>
          <w:tcPr>
            <w:tcW w:w="90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4" w:hRule="atLeast"/>
          <w:tblCellSpacing w:w="15" w:type="dxa"/>
        </w:trPr>
        <w:tc>
          <w:tcPr>
            <w:tcW w:w="90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59" w:hRule="atLeast"/>
          <w:tblCellSpacing w:w="15" w:type="dxa"/>
        </w:trPr>
        <w:tc>
          <w:tcPr>
            <w:tcW w:w="90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73" w:hRule="atLeast"/>
          <w:tblCellSpacing w:w="15" w:type="dxa"/>
        </w:trPr>
        <w:tc>
          <w:tcPr>
            <w:tcW w:w="90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bookmarkStart w:id="0" w:name="_GoBack"/>
      <w:bookmarkEnd w:id="0"/>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jc w:val="right"/>
      </w:pPr>
      <w:r>
        <w:rPr>
          <w:rFonts w:hint="eastAsia" w:ascii="宋体" w:hAnsi="宋体" w:eastAsia="宋体" w:cs="宋体"/>
        </w:rPr>
        <w:t>金额单位：人民币元</w:t>
      </w:r>
      <w:r>
        <w:t xml:space="preserve"> </w:t>
      </w:r>
    </w:p>
    <w:tbl>
      <w:tblPr>
        <w:tblW w:w="83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27"/>
        <w:gridCol w:w="827"/>
        <w:gridCol w:w="1658"/>
        <w:gridCol w:w="827"/>
        <w:gridCol w:w="827"/>
        <w:gridCol w:w="827"/>
        <w:gridCol w:w="856"/>
        <w:gridCol w:w="16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8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8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6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8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8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8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16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966" w:type="dxa"/>
            <w:gridSpan w:val="5"/>
            <w:tcBorders>
              <w:top w:val="outset" w:color="auto" w:sz="6" w:space="0"/>
              <w:left w:val="outset" w:color="auto" w:sz="6" w:space="0"/>
              <w:bottom w:val="outset" w:color="auto" w:sz="6" w:space="0"/>
              <w:right w:val="outset" w:color="auto" w:sz="6" w:space="0"/>
            </w:tcBorders>
            <w:shd w:val="clear"/>
            <w:vAlign w:val="center"/>
          </w:tcPr>
          <w:tbl>
            <w:tblPr>
              <w:tblW w:w="4937"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26"/>
              <w:gridCol w:w="1253"/>
              <w:gridCol w:w="626"/>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2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污水处理工程施工</w:t>
                  </w:r>
                </w:p>
              </w:tc>
              <w:tc>
                <w:tcPr>
                  <w:tcW w:w="62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16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5,370,818.0000</w:t>
                  </w:r>
                </w:p>
              </w:tc>
            </w:tr>
          </w:tbl>
          <w:p>
            <w:pPr>
              <w:jc w:val="cente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5370818</w:t>
            </w:r>
          </w:p>
        </w:tc>
        <w:tc>
          <w:tcPr>
            <w:tcW w:w="16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107416</w:t>
            </w:r>
          </w:p>
        </w:tc>
      </w:tr>
    </w:tbl>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第二章</w:t>
      </w:r>
      <w:r>
        <w:rPr>
          <w:rStyle w:val="5"/>
          <w:spacing w:val="0"/>
          <w:sz w:val="31"/>
          <w:szCs w:val="31"/>
        </w:rPr>
        <w:t>   </w:t>
      </w:r>
      <w:r>
        <w:rPr>
          <w:rStyle w:val="5"/>
          <w:rFonts w:hint="eastAsia" w:ascii="宋体" w:hAnsi="宋体" w:eastAsia="宋体" w:cs="宋体"/>
          <w:spacing w:val="0"/>
          <w:sz w:val="31"/>
          <w:szCs w:val="31"/>
        </w:rPr>
        <w:t>投标人须知前附表（表1、</w:t>
      </w:r>
      <w:r>
        <w:rPr>
          <w:rStyle w:val="5"/>
          <w:rFonts w:hint="default" w:ascii="Times New Roman" w:hAnsi="Times New Roman" w:cs="Times New Roman"/>
          <w:spacing w:val="0"/>
          <w:sz w:val="31"/>
          <w:szCs w:val="31"/>
        </w:rPr>
        <w:t>2</w:t>
      </w:r>
      <w:r>
        <w:rPr>
          <w:rStyle w:val="5"/>
          <w:rFonts w:hint="eastAsia" w:ascii="宋体" w:hAnsi="宋体" w:eastAsia="宋体" w:cs="宋体"/>
          <w:spacing w:val="0"/>
          <w:sz w:val="31"/>
          <w:szCs w:val="31"/>
        </w:rPr>
        <w:t>）</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42"/>
        <w:gridCol w:w="1594"/>
        <w:gridCol w:w="6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6" w:type="dxa"/>
            <w:gridSpan w:val="3"/>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(1)潜在投标人应对现场进行现场考察，以便获取有关编制投标文件所涉及现场的资料，对于现场条件、现场要求等原因造成费用增加时，各投标人应综合考虑在投标报价内。采购人对投标人现场考察后做出的任何推论、理解和结论均不负责任，现场考察所发生的费用及发生的意外均由潜在投标人自行承担。联系人：蔡灿龙 联系电话：28278008。(2)统一考察时间：报名截止后的第一个工作日8:30-10:30期间。(3)潜在投标人进行现场考察时应随带的资料：现场考察确认书（一式两份，格式详见第五章）、出示单位介绍信原件，福建省政府采购网上公开信息系统报名截图；现场考察完毕，采购人在已现场考察过的潜在投标人“现场考察确认书”上加盖公章或签字予以确认。投标代表在开标会现场递交投标文件时，应同时单独提交现场考察确认书原件和单位介绍信原件，未单独提供现场考察确认书原件和单位介绍信原件的投标文件被拒收，将其原封不动的退回投标人。经采购人确认后的“现场考察确认书”原件扫描件须胶装在技术商务部分投标文件正本中，且电子投标文件中应是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投标文件的份数：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允许散装或活页装订的内容或材料：</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是否允许中标人将本项目的非主体、非关键性工作进行分包：</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密封及其标记的具体形式：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不承担责任。</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8</w:t>
            </w:r>
          </w:p>
        </w:tc>
        <w:tc>
          <w:tcPr>
            <w:tcW w:w="1564"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295"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5"/>
                <w:rFonts w:hint="eastAsia" w:ascii="宋体" w:hAnsi="宋体" w:eastAsia="宋体" w:cs="宋体"/>
                <w:spacing w:val="0"/>
                <w:sz w:val="24"/>
                <w:szCs w:val="24"/>
              </w:rPr>
              <w:t>本项目中标人的确定（以合同包为单位）：</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得分相同的，按投标报价由低到高顺序排列。得分且投标报价相同的并列。投标文件满足招标文件全部实际性要求，且按照评审因素的量化指标评审得分最高的投标人为排名第一的中标候选人</w:t>
            </w:r>
            <w:r>
              <w:rPr>
                <w:rFonts w:hint="eastAsia" w:ascii="宋体" w:hAnsi="宋体" w:eastAsia="宋体" w:cs="宋体"/>
                <w:spacing w:val="0"/>
                <w:sz w:val="24"/>
                <w:szCs w:val="24"/>
              </w:rPr>
              <w:t>。</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现场方式。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3"/>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3"/>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招标文件的质疑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※除上述规定外，对招标文件提出的质疑还应符合招标文件第三章第</w:t>
            </w:r>
            <w:r>
              <w:rPr>
                <w:rStyle w:val="5"/>
                <w:rFonts w:hint="default" w:ascii="Times New Roman" w:hAnsi="Times New Roman" w:cs="Times New Roman"/>
                <w:spacing w:val="0"/>
                <w:sz w:val="24"/>
                <w:szCs w:val="24"/>
              </w:rPr>
              <w:t>15.1</w:t>
            </w:r>
            <w:r>
              <w:rPr>
                <w:rStyle w:val="5"/>
                <w:rFonts w:hint="eastAsia" w:ascii="宋体" w:hAnsi="宋体" w:eastAsia="宋体" w:cs="宋体"/>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监督管理部门：</w:t>
            </w:r>
            <w:r>
              <w:rPr>
                <w:rFonts w:hint="eastAsia" w:ascii="宋体" w:hAnsi="宋体" w:eastAsia="宋体" w:cs="宋体"/>
                <w:spacing w:val="0"/>
                <w:sz w:val="24"/>
                <w:szCs w:val="24"/>
              </w:rPr>
              <w:t>福州市长乐区财政局</w:t>
            </w:r>
            <w:r>
              <w:rPr>
                <w:rStyle w:val="5"/>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财政部和福建省财政厅指定的政府采购信息发布媒体（以下简称：“指定媒体”）：</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（2）中国政府采购网福建分网（福建省政府采购网），网址cz.fjzfcg.gov.cn</w:t>
            </w:r>
            <w:r>
              <w:t>。</w:t>
            </w:r>
          </w:p>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※除招标文件第一章第</w:t>
            </w:r>
            <w:r>
              <w:rPr>
                <w:rStyle w:val="5"/>
                <w:rFonts w:hint="default" w:ascii="Times New Roman" w:hAnsi="Times New Roman" w:cs="Times New Roman"/>
                <w:spacing w:val="0"/>
                <w:sz w:val="24"/>
                <w:szCs w:val="24"/>
              </w:rPr>
              <w:t>11.1</w:t>
            </w:r>
            <w:r>
              <w:rPr>
                <w:rStyle w:val="5"/>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6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其他事项：</w:t>
            </w:r>
          </w:p>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5"/>
                <w:rFonts w:hint="eastAsia" w:ascii="宋体" w:hAnsi="宋体" w:eastAsia="宋体" w:cs="宋体"/>
                <w:spacing w:val="0"/>
                <w:sz w:val="24"/>
                <w:szCs w:val="24"/>
              </w:rPr>
              <w:t>支付。</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(2)其他：</w:t>
            </w:r>
            <w:r>
              <w:rPr>
                <w:rFonts w:hint="eastAsia" w:ascii="宋体" w:hAnsi="宋体" w:eastAsia="宋体" w:cs="宋体"/>
                <w:spacing w:val="0"/>
                <w:sz w:val="24"/>
                <w:szCs w:val="24"/>
              </w:rPr>
              <w:t>19.1最高限价： 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投标人所投货物若在中国国家认证认可监督管理委员会(http://www.cnca.gov.cn)的《强制性产品认证目录描述与界定表》范畴内，必须在投标文件中提供相关证明材料复印件，且在有效期内，并同时提供所投货物在国家认监委网站的下载网页并注明网址，否则投标无效。 19.3本项目未经过进口产品论证，采购的货物为国内产品，不接受进口产品投标。国内产品含在中国境内生产的中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 19.4无效投标及废标条款： 以下为可能导致无效投标或废标的条款，具体内容详见招标文件各章节，请各投标人认真查看对照。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(5)出现第四章投标人须知无效投标规定的。 (6)出现第五章招标内容及要求中“★”标示的内容为负偏离的。 (7)出现第五章招标内容及要求无效投标规定的。 (8)明显不符合技术和服务要求的为无效响应。 (9)内容不全或关键字迹模糊、无法辨认的为无效响应。(10)所有证明文件（含商务部分所涉及的证明文件）复印件均须在有效期内，并注明“与原件一致”并加盖投标人单位公章。（未按要求，则视为无效标）原件备查。19.5服务费账号：开户名称：福州信豪工程造价咨询有限公司 账 号：35001870007052514362 开户银行：中国建设银行福州广达支行 。 19.6根据福建省财政厅“关于在政府采购招标文件等相关文件中明确重新采购事项的复函”，本项目因质疑等原因导致中标人资格被撤销的，该项目将进行重新采购。 19.7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本文件中其他有关招标代理服务费(中标服务费)的收费情况与此处不一致，以此处为准) (1)以中标通知书规定的中标金额作为收费的计算基数。 (2)招标代理服务费的交纳方式： a.投标人应在领取中标通知书的同时按规定的标准一次性向招标代理机构缴清招标代理服务费。招标代理服务费以银行转账、电汇、汇票或现金等付款方式。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2191" w:type="dxa"/>
            <w:gridSpan w:val="2"/>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295"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5"/>
                <w:rFonts w:hint="eastAsia" w:ascii="宋体" w:hAnsi="宋体" w:eastAsia="宋体" w:cs="宋体"/>
                <w:spacing w:val="0"/>
                <w:sz w:val="24"/>
                <w:szCs w:val="24"/>
              </w:rPr>
              <w:t>后有表</w:t>
            </w:r>
            <w:r>
              <w:rPr>
                <w:rStyle w:val="5"/>
                <w:rFonts w:hint="default" w:ascii="Times New Roman" w:hAnsi="Times New Roman" w:cs="Times New Roman"/>
                <w:spacing w:val="0"/>
                <w:sz w:val="24"/>
                <w:szCs w:val="24"/>
              </w:rPr>
              <w:t>2</w:t>
            </w:r>
            <w:r>
              <w:rPr>
                <w:rStyle w:val="5"/>
                <w:rFonts w:hint="eastAsia" w:ascii="宋体" w:hAnsi="宋体" w:eastAsia="宋体" w:cs="宋体"/>
                <w:spacing w:val="0"/>
                <w:sz w:val="24"/>
                <w:szCs w:val="24"/>
              </w:rPr>
              <w:t>，请勿遗漏。</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85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24"/>
        <w:gridCol w:w="80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5" w:type="dxa"/>
            <w:gridSpan w:val="2"/>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0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0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5"/>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5"/>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5"/>
                <w:rFonts w:hint="eastAsia" w:ascii="宋体" w:hAnsi="宋体" w:eastAsia="宋体" w:cs="宋体"/>
                <w:spacing w:val="0"/>
                <w:sz w:val="24"/>
                <w:szCs w:val="24"/>
              </w:rPr>
              <w:t>资格审查小组、评标委员会将按照不利于投标人的内容进行认定。</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5"/>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3"/>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5"/>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5"/>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3"/>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3"/>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3"/>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5"/>
                <w:rFonts w:hint="eastAsia" w:ascii="宋体" w:hAnsi="宋体" w:eastAsia="宋体" w:cs="宋体"/>
                <w:sz w:val="24"/>
                <w:szCs w:val="24"/>
                <w:bdr w:val="none" w:color="auto" w:sz="0" w:space="0"/>
              </w:rPr>
              <w:t>投标无效。</w:t>
            </w:r>
          </w:p>
          <w:p>
            <w:pPr>
              <w:pStyle w:val="3"/>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5"/>
                <w:rFonts w:hint="eastAsia" w:ascii="宋体" w:hAnsi="宋体" w:eastAsia="宋体" w:cs="宋体"/>
                <w:sz w:val="24"/>
                <w:szCs w:val="24"/>
                <w:bdr w:val="none" w:color="auto" w:sz="0" w:space="0"/>
              </w:rPr>
              <w:t>均视同有效。</w:t>
            </w:r>
          </w:p>
          <w:p>
            <w:pPr>
              <w:pStyle w:val="3"/>
              <w:keepNext w:val="0"/>
              <w:keepLines w:val="0"/>
              <w:widowControl/>
              <w:suppressLineNumbers w:val="0"/>
              <w:wordWrap w:val="0"/>
              <w:spacing w:before="0" w:beforeAutospacing="0" w:after="0" w:afterAutospacing="0"/>
              <w:ind w:left="0" w:right="0"/>
            </w:pP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5"/>
                <w:rFonts w:hint="eastAsia" w:ascii="宋体" w:hAnsi="宋体" w:eastAsia="宋体" w:cs="宋体"/>
                <w:spacing w:val="0"/>
                <w:sz w:val="24"/>
                <w:szCs w:val="24"/>
              </w:rPr>
              <w:t>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5"/>
                <w:rFonts w:hint="eastAsia" w:ascii="宋体" w:hAnsi="宋体" w:eastAsia="宋体" w:cs="宋体"/>
                <w:spacing w:val="0"/>
                <w:sz w:val="24"/>
                <w:szCs w:val="24"/>
              </w:rPr>
              <w:t>不视为投标无效。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5"/>
                <w:rFonts w:hint="eastAsia" w:ascii="宋体" w:hAnsi="宋体" w:eastAsia="宋体" w:cs="宋体"/>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5"/>
                <w:rFonts w:hint="eastAsia" w:ascii="宋体" w:hAnsi="宋体" w:eastAsia="宋体" w:cs="宋体"/>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b.有下列情形之一的，视为投标人串通投标，</w:t>
            </w:r>
            <w:r>
              <w:rPr>
                <w:rStyle w:val="5"/>
                <w:rFonts w:hint="eastAsia" w:ascii="宋体" w:hAnsi="宋体" w:eastAsia="宋体" w:cs="宋体"/>
                <w:spacing w:val="0"/>
                <w:sz w:val="24"/>
                <w:szCs w:val="24"/>
              </w:rPr>
              <w:t>其投标无效：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3"/>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第三章   投标人须知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一、总则</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二、投标人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三、招标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福州信豪工程造价咨询有限公司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5"/>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福州信豪工程造价咨询有限公司可终止招标并发布终止公告。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8.2终止公告作为福州信豪工程造价咨询有限公司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四、投标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5"/>
          <w:rFonts w:hint="eastAsia" w:ascii="宋体" w:hAnsi="宋体" w:eastAsia="宋体" w:cs="宋体"/>
          <w:spacing w:val="0"/>
          <w:sz w:val="24"/>
          <w:szCs w:val="24"/>
        </w:rPr>
        <w:t>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※除本章第</w:t>
      </w:r>
      <w:r>
        <w:rPr>
          <w:rStyle w:val="5"/>
          <w:rFonts w:hint="default" w:ascii="Calibri" w:hAnsi="Calibri" w:cs="Calibri"/>
          <w:spacing w:val="0"/>
          <w:sz w:val="24"/>
          <w:szCs w:val="24"/>
        </w:rPr>
        <w:t>10.5</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2</w:t>
      </w:r>
      <w:r>
        <w:rPr>
          <w:rStyle w:val="5"/>
          <w:rFonts w:hint="eastAsia" w:ascii="宋体" w:hAnsi="宋体" w:eastAsia="宋体" w:cs="宋体"/>
          <w:spacing w:val="0"/>
          <w:sz w:val="24"/>
          <w:szCs w:val="24"/>
        </w:rPr>
        <w:t>）款第③点规定情形外，投标文件散装或活页装订将导致投标无效。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5"/>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5"/>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5"/>
          <w:rFonts w:hint="eastAsia" w:ascii="宋体" w:hAnsi="宋体" w:eastAsia="宋体" w:cs="宋体"/>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※除招标文件另有规定外，未按照上述规定提交投标保证金将导致资格审查不合格。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收到投标人书面撤回通知之日起5个工作日内退回原账户。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5"/>
          <w:rFonts w:hint="eastAsia" w:ascii="宋体" w:hAnsi="宋体" w:eastAsia="宋体" w:cs="宋体"/>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※本章第</w:t>
      </w:r>
      <w:r>
        <w:rPr>
          <w:rStyle w:val="5"/>
          <w:rFonts w:hint="default" w:ascii="Calibri" w:hAnsi="Calibri" w:cs="Calibri"/>
          <w:spacing w:val="0"/>
          <w:sz w:val="24"/>
          <w:szCs w:val="24"/>
        </w:rPr>
        <w:t>10.9</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4</w:t>
      </w:r>
      <w:r>
        <w:rPr>
          <w:rStyle w:val="5"/>
          <w:rFonts w:hint="eastAsia" w:ascii="宋体" w:hAnsi="宋体" w:eastAsia="宋体" w:cs="宋体"/>
          <w:spacing w:val="0"/>
          <w:sz w:val="24"/>
          <w:szCs w:val="24"/>
        </w:rPr>
        <w:t>）款第①、②、③点规定的投标保证金退还时限不包括因投标人自身原因导致无法及时退还而增加的时间。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3"/>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※若上述投标保证金不予退还情形给采购人（采购代理机构）造成损失，则投标人还要承担相应的赔偿责任。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5"/>
          <w:rFonts w:hint="eastAsia" w:ascii="宋体" w:hAnsi="宋体" w:eastAsia="宋体" w:cs="宋体"/>
          <w:spacing w:val="0"/>
          <w:sz w:val="24"/>
          <w:szCs w:val="24"/>
        </w:rPr>
        <w:t>否则将被拒收。</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※按照上述规定提交的补充、修改内容作为投标文件组成部分。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五、开标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将在招标文件载明的开标时间及地点主持召开开标会，并邀请投标人参加。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派出，现场监督人员（若有）可由有关方面派出。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※若出现本章第</w:t>
      </w:r>
      <w:r>
        <w:rPr>
          <w:rStyle w:val="5"/>
          <w:rFonts w:hint="default" w:ascii="Calibri" w:hAnsi="Calibri" w:cs="Calibri"/>
          <w:spacing w:val="0"/>
          <w:sz w:val="24"/>
          <w:szCs w:val="24"/>
        </w:rPr>
        <w:t>11.4</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4</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5</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6</w:t>
      </w:r>
      <w:r>
        <w:rPr>
          <w:rStyle w:val="5"/>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5"/>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福州信豪工程造价咨询有限公司</w:t>
      </w:r>
      <w:r>
        <w:rPr>
          <w:rStyle w:val="5"/>
          <w:rFonts w:hint="eastAsia" w:ascii="宋体" w:hAnsi="宋体" w:eastAsia="宋体" w:cs="宋体"/>
          <w:spacing w:val="0"/>
          <w:sz w:val="24"/>
          <w:szCs w:val="24"/>
        </w:rPr>
        <w:t>提出任何疑义或要求（包括质疑）。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六、中标与政府采购合同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将在招标文件载明的指定媒体以中标公告的形式发布中标结果。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通知除中标人外的其他投标人没有中标的书面形式。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将向中标人发出中标通知书。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七、询问、质疑与投诉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14.1潜在投标人或投标人对本次采购活动的有关事项若有疑问，可向福州信豪工程造价咨询有限公司提出询问，福州信豪工程造价咨询有限公司将按照政府采购法及实施条例的有关规定进行答复。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州信豪工程造价咨询有限公司对其质疑作出的处理结果，如：暂停招标投标活动、修改招标文件、停止或纠正违法违规行为、中标结果无效、废标、重新招标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5"/>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3"/>
        <w:keepNext w:val="0"/>
        <w:keepLines w:val="0"/>
        <w:widowControl/>
        <w:suppressLineNumbers w:val="0"/>
        <w:ind w:left="0" w:firstLine="480"/>
      </w:pPr>
      <w:r>
        <w:rPr>
          <w:rStyle w:val="5"/>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3"/>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八、政府采购政策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5"/>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5"/>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5"/>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②监狱企业视同小型、微型企业。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九、本项目的有关信息</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十、其他事项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第四章   资格审查与评标</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一、资格审查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负责资格审查小组的组建及资格审查工作的组织。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的工作人员。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3"/>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37"/>
        <w:gridCol w:w="4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3"/>
        <w:keepNext w:val="0"/>
        <w:keepLines w:val="0"/>
        <w:widowControl/>
        <w:suppressLineNumbers w:val="0"/>
        <w:spacing w:before="75" w:beforeAutospacing="0" w:after="75" w:afterAutospacing="0"/>
        <w:ind w:left="0" w:right="0" w:firstLine="480"/>
      </w:pPr>
      <w:r>
        <w:rPr>
          <w:rStyle w:val="5"/>
          <w:spacing w:val="0"/>
          <w:sz w:val="24"/>
          <w:szCs w:val="24"/>
        </w:rPr>
        <w:t>包：1</w:t>
      </w:r>
      <w:r>
        <w:rPr>
          <w:spacing w:val="0"/>
          <w:sz w:val="24"/>
          <w:szCs w:val="24"/>
        </w:rPr>
        <w:t xml:space="preserve"> </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37"/>
        <w:gridCol w:w="4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1、提供办公场所的产地证明材料（属于自有产权的提供产权证复印件；非自有产权的提供产地租赁合同复印件；2、提供负责本项目的主要人员的名单、联系方式。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投标人须提供参加政府采购活动前在环境保护领域没有存在严重失信行为的书面声明；</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参加政府采购活动前在环境保护领域没有存在严重失信行为的书面声明。是指提交“参加政府采购活动前在环境保护领域没有存在严重失信行为的书面声明函”。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资质证书</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投标人须具备建设行政主管部门核发的有效的环保工程专业承包三级及以上资质和建筑机电安装工程专业承包三级及以上资质，并具备有效的《施工企业安全生产许可证》。需在投标文件中提供证书复印件。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5"/>
          <w:rFonts w:hint="eastAsia" w:ascii="宋体" w:hAnsi="宋体" w:eastAsia="宋体" w:cs="宋体"/>
          <w:spacing w:val="0"/>
          <w:sz w:val="24"/>
          <w:szCs w:val="24"/>
        </w:rPr>
        <w:t>资格审查不合格：</w:t>
      </w:r>
      <w:r>
        <w:rPr>
          <w:rStyle w:val="5"/>
          <w:rFonts w:hint="eastAsia" w:ascii="宋体" w:hAnsi="宋体" w:eastAsia="宋体" w:cs="宋体"/>
          <w:spacing w:val="0"/>
          <w:sz w:val="24"/>
          <w:szCs w:val="24"/>
        </w:rPr>
        <w:br w:type="textWrapping"/>
      </w:r>
      <w:r>
        <w:rPr>
          <w:rFonts w:hint="eastAsia" w:ascii="宋体" w:hAnsi="宋体" w:eastAsia="宋体" w:cs="宋体"/>
        </w:rPr>
        <w:t>  （1）一般情形：</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3"/>
        <w:keepNext w:val="0"/>
        <w:keepLines w:val="0"/>
        <w:widowControl/>
        <w:suppressLineNumbers w:val="0"/>
        <w:ind w:left="0" w:firstLine="480"/>
      </w:pPr>
      <w:r>
        <w:rPr>
          <w:rStyle w:val="5"/>
        </w:rPr>
        <w:t>包：1</w:t>
      </w:r>
      <w:r>
        <w:t xml:space="preserve"> </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政府采购货物和服务招标投标管理办法》（财政部令第87号），若有下列情形之一的，视为投标人串通投标，其投标无效：（1）不同投标人的投标文件由同一单位或个人编制；（2）不同投标人委托同一单位或个人办理投标事宜；（3）不同投标人的投标文件载明的项目管理成员或联系人员为同一人；（4）不同投标人的投标文件异常一致或投标报价呈规律性差异；（5）不同投标人的投标文件相互混装；（6）不同投标人的投标保证金从同一单位或个人的账户转出；（7）有关法律、法规和规章及招标文件规定的其他串通投标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除招标文件另有规定外，有下列情形之一的，投标无效：（1）投标文件未按照招标文件要求签署、盖章；（2）不符合招标文件中规定的资格要求；（3）投标报价超过招标文件中规定的预算金额或最高限价；（4）投标文件含有采购人不能接受的附加条件；（5）未对自身无各种串标情况进行书面声明；（6）有关法律、法规和规章及招标文件规定的其他无效情形；（7）未能提供招标代理服务费承诺函。</w:t>
            </w:r>
          </w:p>
        </w:tc>
      </w:tr>
    </w:tbl>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二、评标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福州信豪工程造价咨询有限公司负责评标委员会的组建及评标工作的组织。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福州信豪工程造价咨询有限公司</w:t>
      </w:r>
      <w:r>
        <w:rPr>
          <w:rFonts w:hint="eastAsia" w:ascii="宋体" w:hAnsi="宋体" w:eastAsia="宋体" w:cs="宋体"/>
          <w:spacing w:val="0"/>
          <w:sz w:val="24"/>
          <w:szCs w:val="24"/>
        </w:rPr>
        <w:t>或投标人提供的要求保密的资料，不得摘记翻印和外传。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5"/>
          <w:rFonts w:hint="eastAsia" w:ascii="宋体" w:hAnsi="宋体" w:eastAsia="宋体" w:cs="宋体"/>
          <w:spacing w:val="0"/>
          <w:sz w:val="24"/>
          <w:szCs w:val="24"/>
        </w:rPr>
        <w:t>符合性审查不合格：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①一般情形：</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修正后的报价应按照本章第6.3条第（1）、（2）款规定经投标人确认后产生约束力，投标人不确认的，其投标无效。</w:t>
            </w:r>
          </w:p>
        </w:tc>
      </w:tr>
    </w:tbl>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※同时出现两种以上不一致的，按照前款规定的顺序修正。修正后的报价应按照本章第</w:t>
      </w:r>
      <w:r>
        <w:rPr>
          <w:rStyle w:val="5"/>
          <w:rFonts w:hint="default" w:ascii="Calibri" w:hAnsi="Calibri" w:cs="Calibri"/>
          <w:spacing w:val="0"/>
          <w:sz w:val="24"/>
          <w:szCs w:val="24"/>
        </w:rPr>
        <w:t>6.3</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1</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2</w:t>
      </w:r>
      <w:r>
        <w:rPr>
          <w:rStyle w:val="5"/>
          <w:rFonts w:hint="eastAsia" w:ascii="宋体" w:hAnsi="宋体" w:eastAsia="宋体" w:cs="宋体"/>
          <w:spacing w:val="0"/>
          <w:sz w:val="24"/>
          <w:szCs w:val="24"/>
        </w:rPr>
        <w:t>）款规定经投标人确认后产生约束力，投标人不确认的，其投标无效。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5"/>
          <w:rFonts w:hint="eastAsia" w:ascii="宋体" w:hAnsi="宋体" w:eastAsia="宋体" w:cs="宋体"/>
          <w:spacing w:val="0"/>
          <w:sz w:val="24"/>
          <w:szCs w:val="24"/>
        </w:rPr>
        <w:t>（政府采购服务类项目不适用本条款规定）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得分相同的，按投标报价由低到高顺序排列。得分且投标报价相同的并列。投标文件满足招标文件全部实际性要求，且按照评审因素的量化指标评审得分最高的投标人为排名第一的中标候选人</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5"/>
          <w:rFonts w:hint="eastAsia" w:ascii="宋体" w:hAnsi="宋体" w:eastAsia="宋体" w:cs="宋体"/>
          <w:spacing w:val="0"/>
          <w:sz w:val="24"/>
          <w:szCs w:val="24"/>
        </w:rPr>
        <w:t>持不同意见的评委应在评标报告上签署不同意见及理由，否则视为同意评标报告。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福州信豪工程造价咨询有限公司</w:t>
      </w:r>
      <w:r>
        <w:rPr>
          <w:rStyle w:val="5"/>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合同包1采用综合评分法。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5"/>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3"/>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3"/>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3"/>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3"/>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3"/>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3"/>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4"/>
        <w:gridCol w:w="7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5"/>
                <w:rFonts w:ascii="宋体" w:hAnsi="宋体" w:eastAsia="宋体" w:cs="宋体"/>
                <w:kern w:val="0"/>
                <w:sz w:val="24"/>
                <w:szCs w:val="24"/>
                <w:lang w:val="en-US" w:eastAsia="zh-CN" w:bidi="ar"/>
              </w:rPr>
              <w:t>(一)《政府采购促进中小企业发展暂行办法》价格的扣除： 1、根据财政部、工信部印发的《政府采购促进中小企业发展暂行办法》财库〔2011〕181号，本办法所称中小企业(含中型、小型、微型企业，下同)应当同时符合以下条件：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2、本项目为非专门面向中小企业的项目，对小型和微型企业产品的价格给予6%的扣除，用扣除后的价格参与评审。残疾人集中就业企业、监狱企业视同小型和微型企业，享受评审中价格扣除的政府采购政策。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 4、政府采购对中小企业的认定，由企业所在地的县级以上中小企业主管部门负责。须提供中小企业主管部门的证明函，否则不予价格扣除。 5、监狱企业参加政府采购活动时，应当提供由省级以上监狱管理局、戒毒管理局(含新疆生产建设兵团)出具的属于监狱企业的证明文件，否则不予价格扣除。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pStyle w:val="3"/>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55</w:t>
      </w:r>
      <w:r>
        <w:rPr>
          <w:rFonts w:hint="eastAsia" w:ascii="宋体" w:hAnsi="宋体" w:eastAsia="宋体" w:cs="宋体"/>
          <w:sz w:val="24"/>
          <w:szCs w:val="24"/>
        </w:rPr>
        <w:t>分。</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95"/>
        <w:gridCol w:w="327"/>
        <w:gridCol w:w="6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HDPE双壁波纹管的技术性能（技术标准）</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投标人所投产品应符合GB/T19472.1-2004《埋地用聚乙烯(PE)结构壁管道系统　第1部分：聚乙烯双壁波纹管材的性能要求》，提供HDPE双壁波纹管制造商所具备的权威部门颁发的证明文件（提供证明文件复印件，并加盖投标人单位公章，原件备查）。满足的得1分，否则不得分。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HDPE双壁波纹管的技术性能（品质）</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管材须采用外绿内白设计，可有效防止采用再生料，确保产品质量安全。（提供产品省级含省级以上检测报告证明复印件，并加盖投标人单位公章，原件备查）。满足的得1分，否则不得分。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HDPE双壁波纹管的技术性能（参数性能）</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投标人应所投的HDPE双壁波纹管的性能须满足以下要求： （1）环刚度≥8KN/m3; （2）耐腐蚀度（60% HCL,60°C,165h）无开裂、无破碎； （3）耐腐蚀度（40% NaOH,60°C,165h）无开裂、无破碎; （4）环柔性无反向弯曲，无破裂，两壁无脱开； （5）产品须无气泡，无分层，无开裂； （6）蠕变性≤4.。 完全满足的得2分，每不满足一项扣0.5分，扣完为止。 投标人须提供制造商的送检的产品合格报告复印件作为证明文件，且该报告必须是由权威机构（具有CNAS、CMA、CAL认证资质的检测机构）出具的，否则不得分。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镀锌钢管的技术性能</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投标人所投镀锌钢管的镀锌层重量应≥300g/㎡，投标人应提供送检测机构出具的合格产品报告为证明材料复印件，并加盖投标人单位公章（原件备查）。满足的得2分，否则不得分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镀锌钢管的碳含量应≤0.22+0.02；硅含量应≤0.35+0.03；锰含量应≤1.40+0.005。投标人应提供送检测机构出具的合格产品报告为证明材料。复印件需加盖投标人单位公章，（原件备查）。满足的得2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投标人所投镀锌钢管的拉伸强度≥370MPa；弯曲试验；投标人应提供送检测机构出具的合格产品报告为证明材料。复印件需加盖投标人单位公章，（原件备查）。满足的得2分，否则不得分。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一体化泵站的技术性能（泵站筒体的强度要求）</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投标人应提供所投一体化泵站产品的筒体检验报告，且该检测报告的直径规格为：2m，厚度不小于15mm； 1) 环向拉伸强度≥720 MPa；2) 轴向拉伸强度≥58 MPa；3) 轴向弹性模量≥12 GPa；4) 环向弯曲强度≥530 MPa；5) 环向弹性模量≥26 GPa；6) 筒体巴氏硬度≥62；7) 内衬层树脂含量≥65%；8) 结构层树脂含量≥30%；9) 密度≥1.82g/cm3。 以上9个性能参数要求，完全满足的得3分，每不满足1个参数要求扣1分，扣完为止。 投标人须要提供省级或以上级检测机构出具的一体化泵站筒体的检验报告扫描件（权威级检测机构在此处的定义是指该检测机构所检测的内容具有通过中国质量监督检验机构认证、中国计量认证和中国合格评定国家认可委员会认证，即CAL认证、CMA认证和CNAS认证，并在检验报告封面带有以上认证资质的标识） 备注：1、投标筒体的直径规格须与检测报告的直径规格一致，检验报告没体现本项目泵站直径规格（直径2m，厚度15mm）的视为不响应招标要求。 2、须提供检测报告相关的扫描件，不满足上述规定的检测要求或提供检测报告不全或不详实的不得分 3、采购人将对检测报告真伪进行核实，如若发现造假，将上报有关部门追究提供虚假材料的法律责任。(原件备查）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一体化泵站的技术性能（配套潜水泵的高效节能）</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泵站配套潜水泵功率不得超过2.2kw，扬程和流量参数需满足以下三个工况点： A、最低水位工况点：扬程H=7米，对应流量Q≥30m3/h； B、中间位工况点：扬程H=6米，对应流量Q≥50m3/h； C、超过高水位工况点：扬程H=5米，对应流量Q≥70m3/h； 同时满足A、B、C三个工况点要求的，且水泵电机功率小于2.2kw的,得3分， 仅满足A、B或A、C工况点的，且水泵功率小于2.2kw的 ,得1分； 仅满足A工况点的不得分。 需提供证明材料：1、水泵厂家的完整的曲线图（包含：流量、扬程、效率、轴功率 等），2、水泵配套电机功率的计算说明 ，否则不得分；采购人将对技术性能真伪进行检测核实，如若发现造假，将上报有关部门追究提供虚假材料的法律责任。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一体化泵站的技术性能（配套潜水泵的绝缘等级）</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一体化泵站配套潜水泵，绝缘等级H，电机启动次数能达到每小时30次，完全满足得3分。需提供技术说明文件和制造商彩色样册原件证明，否则不得分。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一体化泵站的技术性能（配套潜水泵的密封性能）</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一体化泵站配套潜水泵的机械密封，为了消除错误安装和错误操作的风险，机械密封须采用一体式机封，将内外双重机械密封整合为一个整体；机械密封材质采用耐腐蚀烧结碳化钨；电缆进线密封采用圆柱高弹性衬套和外侧垫圈与电缆紧密结合消除扭矩的防水密封（衬套可反复使用），完全满足的得3分。需提供技术说明文件制造商彩色样本证明，否则不得分；采购人将对技术性能真伪进行核实，如若发现造假，将上报有关部门追究提供虚假材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一体化泵站的技术性能（配套潜水泵的防堵塞性能）</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泵站配套潜水泵的叶轮具有防堵塞性能，提供包含图片加文字的防堵说明资料和国家知识产权局出具的技术认证证书，完全满足的得3分。采购人将对认证证书真伪进行核实，如若发现造假，将上报有关部门追究提供虚假材料的法律责任。(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一体化泵站的技术性能（泵站控制系统）</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应为无人值守的智能设计，所投一体化泵站的须具备远程监控云平台，且该云平台具备两项功能：1、能通过网页客户端实现水泵及周边设备的远程控制，2、能通过手机APP实现水泵及周边设备的远程监控；同时满足两项功能的得3分，满足1项的得1分，两项都不满足的得0分；需提供国家版权局出具的技术认证证书，否则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一体化泵站的技术性能（泵站噪声）</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运行状态时，泵站对周边的噪声影响，以在泵站外3m处监测的噪声值评分：小于60dB(A)的得3分，60dB(A)至70dB(A)的得1分，大于70dB(A)的得0分。提供权威级检测机构出具有检验报告复印件，未提供的不得分。（权威级检测机构在本评分项的定义是指检测机构有通过合格评定国家认可委员会认证和计量认证，即CMA认证、CAL认证和CNAS认证） 备注：1、 须提供检测报告相关的扫描件，原件备查，不满足上述规定的检测要求或提供检验报告不全或不详实的不得分 2、采购人将对检测报告真伪进行核实，如若发现造假，将上报有关部门追究提供虚假材料的法律责任。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一体化泵站的技术性能（泵站的安全性）</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一体化泵站整套产品通过获得中国质量认证中心(CQC)的CCC认证或欧盟公告机构（Notified Body）的CE认证的得3分，仅单项组件（泵或控制柜等）获得CCC认证或CE安全认证的得1分，其它不得分。（需提供证书复印件，否则不得分，原件备查）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一体化泵站的技术性能（泵站防淤积技术的优化）</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体化泵站的底座为防方淤积底座，投标人所投产品对泵站底座有进行优化设计，减少泵站筒体底部水平面积的，从而减少淤积，以适应一体化泵站节能和避免人工干预的设计要求；提供国家知识产权局出具的技术认证证书和技术说明，完全满足得3分，部分满足得1分，其它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污水处理设备的技术性能（污水处理设备的控制运维管理系统）</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投标人所投污水处理设备智能PLC具有国家版权局颁发的GIS智能云防雷运维系统计算机软件著作权登记证书的得1分，没有的不得分；具有国家版权局颁发的智能云监控系统计算机软件著作权登记证书的得1分, 没有的不得分；具有国家版权局颁发的GIS智能云综合管理系统计算机软件著作权登记证书的得1分，没有的不得分。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污水处理设备的技术性能（污水处理设备配置的要求）</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污水处理设备的配套玻璃钢筒体强度要求： 1、环向拉伸强度≥365MPa； 2、轴向拉伸强度≥100MPa； 3、热膨胀系数≤7.41X10-8 ； 4、压缩强度≥220MPa； 5、金属含量≤0.40%； 6、耐酸性检测（PH5，24h），浸泡后无裂纹、气泡等缺陷 7、耐碱性检测（PH12，24h）, 浸泡后无裂纹、气泡等缺陷， 8、巴氏硬度≥45， 完全满足以上参数要求得3分，以上参数每不满足一个扣1分，提供省级及以上检测机构出具的与本次招标规格型号相当的检测报告，检测玻璃钢一体化设备报告证明，否则不得分。（原件备查）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根据投标人所投污水处理设备配套的主要零部件（水泵、风机、滤芯等组件的品牌知名度和品质优劣）材料、技术先进性在0-3分间打分。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污水处理设备的技术性能（施工组装方案）</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根据投标人提供的一体化污水处理设备的施工组装方案，进行综合评分，在0~3分之间打分。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污水处理设备的技术性能（设计合理性）</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根据投标人提供的一污水处理设备的技术工艺方案的说明，技术优劣，在0~3分间打分。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污水处理设备的技术性能（完整性）</w:t>
            </w:r>
          </w:p>
        </w:tc>
        <w:tc>
          <w:tcPr>
            <w:tcW w:w="3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所提交技术资料的完整性（从技术性能描述是否详细、是否提交安装基础图、部件图及与运行有关的组件详图等进行评价），在0-3分间打分。</w:t>
            </w:r>
          </w:p>
        </w:tc>
      </w:tr>
    </w:tbl>
    <w:p>
      <w:pPr>
        <w:pStyle w:val="3"/>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W w:w="8305" w:type="dxa"/>
        <w:tblCellSpacing w:w="0" w:type="dxa"/>
        <w:tblInd w:w="0" w:type="dxa"/>
        <w:shd w:val="clear"/>
        <w:tblLayout w:type="fixed"/>
        <w:tblCellMar>
          <w:top w:w="0" w:type="dxa"/>
          <w:left w:w="0" w:type="dxa"/>
          <w:bottom w:w="0" w:type="dxa"/>
          <w:right w:w="0" w:type="dxa"/>
        </w:tblCellMar>
      </w:tblPr>
      <w:tblGrid>
        <w:gridCol w:w="414"/>
        <w:gridCol w:w="315"/>
        <w:gridCol w:w="7576"/>
      </w:tblGrid>
      <w:tr>
        <w:tblPrEx>
          <w:shd w:val="clear"/>
          <w:tblLayout w:type="fixed"/>
          <w:tblCellMar>
            <w:top w:w="0" w:type="dxa"/>
            <w:left w:w="0" w:type="dxa"/>
            <w:bottom w:w="0" w:type="dxa"/>
            <w:right w:w="0" w:type="dxa"/>
          </w:tblCellMar>
        </w:tblPrEx>
        <w:trPr>
          <w:tblHeader/>
          <w:tblCellSpacing w:w="0" w:type="dxa"/>
        </w:trPr>
        <w:tc>
          <w:tcPr>
            <w:tcW w:w="41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shd w:val="clear"/>
          <w:tblLayout w:type="fixed"/>
          <w:tblCellMar>
            <w:top w:w="0" w:type="dxa"/>
            <w:left w:w="0" w:type="dxa"/>
            <w:bottom w:w="0" w:type="dxa"/>
            <w:right w:w="0" w:type="dxa"/>
          </w:tblCellMar>
        </w:tblPrEx>
        <w:trPr>
          <w:tblCellSpacing w:w="0" w:type="dxa"/>
        </w:trPr>
        <w:tc>
          <w:tcPr>
            <w:tcW w:w="414" w:type="dxa"/>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企业实力</w:t>
            </w: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投标人所投HDPE双壁波纹管制造商具有科技小巨人领军企业证书的得1分，提供证书复印件。并加盖投标人单位公章。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投标人所投HDPE双壁波纹管制造商具有国家实验室认可证书的得1分，提供认可证书复印件。并加盖投标人单位公章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投标人所投HDPE双壁波纹管制造商具有中国环境标志产品认证证书的得1分，提供证书复印件。并加盖投标人单位公章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投标人所投HDPE双壁波纹管制造商具有排污许可证的得1分，提供证书复印件。并加盖投标人单位公章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投标人所镀锌钢管管制造商最新镀锌钢管产品行业标准起草单位的得0.5分，是国家标准起草单位的得1分。并加盖投标人单位公章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投标人所投镀锌钢管制造商具有压力设备制造许可证的得1分，提供许可证复印件。并加盖投标人单位公章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投标人所投镀锌钢管制造商具有国家实验室认可证书的得1分，提供认可证书复印件。并加盖投标人单位公章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节能减排</w:t>
            </w: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投标人所投一体化泵站的制造商，具有国家能源体现认证：GB/T23331-2012的，且认证范围包含一体化泵站系统，完全满足的得1分。需提供证书复印件。并加盖投标人单位公章</w:t>
            </w:r>
          </w:p>
        </w:tc>
      </w:tr>
      <w:tr>
        <w:tblPrEx>
          <w:shd w:val="clear"/>
          <w:tblLayout w:type="fixed"/>
          <w:tblCellMar>
            <w:top w:w="0" w:type="dxa"/>
            <w:left w:w="0" w:type="dxa"/>
            <w:bottom w:w="0" w:type="dxa"/>
            <w:right w:w="0" w:type="dxa"/>
          </w:tblCellMar>
        </w:tblPrEx>
        <w:trPr>
          <w:tblCellSpacing w:w="0" w:type="dxa"/>
        </w:trPr>
        <w:tc>
          <w:tcPr>
            <w:tcW w:w="414" w:type="dxa"/>
            <w:vMerge w:val="continue"/>
            <w:shd w:val="clear"/>
            <w:vAlign w:val="center"/>
          </w:tcPr>
          <w:p>
            <w:pPr>
              <w:rPr>
                <w:rFonts w:hint="eastAsia" w:ascii="宋体"/>
                <w:sz w:val="24"/>
                <w:szCs w:val="24"/>
              </w:rPr>
            </w:pP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投标人所投一体化泵站的制造商，获得五星品牌认证证书的，得1分，一体化泵站产品的制造商获得五星售后服务认证证书的，得1分，共2分；须在投标文件中提供相关证明材料，否则不得分。</w:t>
            </w:r>
          </w:p>
        </w:tc>
      </w:tr>
      <w:tr>
        <w:tblPrEx>
          <w:shd w:val="clear"/>
          <w:tblLayout w:type="fixed"/>
          <w:tblCellMar>
            <w:top w:w="0" w:type="dxa"/>
            <w:left w:w="0" w:type="dxa"/>
            <w:bottom w:w="0" w:type="dxa"/>
            <w:right w:w="0" w:type="dxa"/>
          </w:tblCellMar>
        </w:tblPrEx>
        <w:trPr>
          <w:tblCellSpacing w:w="0" w:type="dxa"/>
        </w:trPr>
        <w:tc>
          <w:tcPr>
            <w:tcW w:w="41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维保服务</w:t>
            </w: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招标文件要求各投标人对所投标产品的质量保证承诺、维保服务承诺、维护响应计划（包括时间、方式等）、维保服务的零配件供应及相应配合等情况，由评委进行横向评议并在0～2分之间进行评分。（满分2分）</w:t>
            </w:r>
          </w:p>
        </w:tc>
      </w:tr>
      <w:tr>
        <w:tblPrEx>
          <w:shd w:val="clear"/>
          <w:tblLayout w:type="fixed"/>
          <w:tblCellMar>
            <w:top w:w="0" w:type="dxa"/>
            <w:left w:w="0" w:type="dxa"/>
            <w:bottom w:w="0" w:type="dxa"/>
            <w:right w:w="0" w:type="dxa"/>
          </w:tblCellMar>
        </w:tblPrEx>
        <w:trPr>
          <w:tblCellSpacing w:w="0" w:type="dxa"/>
        </w:trPr>
        <w:tc>
          <w:tcPr>
            <w:tcW w:w="41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同类项目合同业绩</w:t>
            </w:r>
          </w:p>
        </w:tc>
        <w:tc>
          <w:tcPr>
            <w:tcW w:w="3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57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同类项目业绩情况：根据投标人从2016年1月1日（以合同签订时间为准）至今，在国内承接过同类项目进行评审：一体化泵站或一体化污水处理设备供货的同类项目，合同金额为G，G＞200万元的每个同类项目得0.5分；满分3分。 投标人须提供齐该同类项目以下资料有效复印件： 1、中标公告（提供相关网站中标公告的下载网页并注明有效网址）； 2、中标通知书复印件； 3、采购合同文本复印件； 4、设备运行通过验收报告复印件。 如未按照以上要求提供该同类项目完整资料的，评委对该项目将不予采信，招标人将投标人所提供的业绩逐一核实。</w:t>
            </w:r>
          </w:p>
        </w:tc>
      </w:tr>
    </w:tbl>
    <w:p>
      <w:pPr>
        <w:pStyle w:val="3"/>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3"/>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3"/>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W w:w="8306" w:type="dxa"/>
        <w:tblCellSpacing w:w="0" w:type="dxa"/>
        <w:tblInd w:w="0" w:type="dxa"/>
        <w:shd w:val="clear"/>
        <w:tblLayout w:type="fixed"/>
        <w:tblCellMar>
          <w:top w:w="0" w:type="dxa"/>
          <w:left w:w="0" w:type="dxa"/>
          <w:bottom w:w="0" w:type="dxa"/>
          <w:right w:w="0" w:type="dxa"/>
        </w:tblCellMar>
      </w:tblPr>
      <w:tblGrid>
        <w:gridCol w:w="578"/>
        <w:gridCol w:w="410"/>
        <w:gridCol w:w="7318"/>
      </w:tblGrid>
      <w:tr>
        <w:tblPrEx>
          <w:shd w:val="clear"/>
          <w:tblLayout w:type="fixed"/>
          <w:tblCellMar>
            <w:top w:w="0" w:type="dxa"/>
            <w:left w:w="0" w:type="dxa"/>
            <w:bottom w:w="0" w:type="dxa"/>
            <w:right w:w="0" w:type="dxa"/>
          </w:tblCellMar>
        </w:tblPrEx>
        <w:trPr>
          <w:tblHeader/>
          <w:tblCellSpacing w:w="0" w:type="dxa"/>
        </w:trPr>
        <w:tc>
          <w:tcPr>
            <w:tcW w:w="57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1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31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shd w:val="clear"/>
          <w:tblLayout w:type="fixed"/>
          <w:tblCellMar>
            <w:top w:w="0" w:type="dxa"/>
            <w:left w:w="0" w:type="dxa"/>
            <w:bottom w:w="0" w:type="dxa"/>
            <w:right w:w="0" w:type="dxa"/>
          </w:tblCellMar>
        </w:tblPrEx>
        <w:trPr>
          <w:tblCellSpacing w:w="0" w:type="dxa"/>
        </w:trPr>
        <w:tc>
          <w:tcPr>
            <w:tcW w:w="57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节能、环保产品</w:t>
            </w:r>
          </w:p>
        </w:tc>
        <w:tc>
          <w:tcPr>
            <w:tcW w:w="41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w:t>
            </w:r>
          </w:p>
        </w:tc>
        <w:tc>
          <w:tcPr>
            <w:tcW w:w="7318"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同一合同包内的节能、减排、环境标志产品报价总金额占本合同包报价总金额及对应的优惠幅度： 20%（含20%）以下：价格评标项 价格评标项标准总分值4%的加分 ，技术评标项 技术评标项标准总分值4%的加分 。 20%-50%（含50%）：价格评标项 价格评标项标准总分值6%的加分， 技术评标项 技术评标项标准总分值6%的加分。 50%以上： 价格评标项 价格评标项标准总分值8%的加分， 技术评标项 技术评标项标准总分值8%的加分。 注：投标供应商在投标报价时必须对属于节能、减排、环境标志产品清单内产品单独分项报价，并提供属于清单内产品的完整有效证明资料（即必须提供本项目截标时间之前中国政府采购网正式公布的最新一期的节能、环境标志产品政府采购清单的通知及所投产品在政府采购清单内所在页面，并标注在清单上的位置）加盖投标供应商公章，否则不给予加分。同一合同包内的节能产品加分只对属于清单内的非强制类产品进行加分，强制类产品已作为投标时强制性要求不再给予加分。若节能、减排、环境标志清单内的产品仅是构成投标产品的部件、组件或零件，则该投标产品不享受鼓励优惠政策。节能、减排、环境标志、产品只以中国政府采购网（www.ccgp.gov.cn）上公告最新一期的清单为准进行加分。</w:t>
            </w:r>
          </w:p>
        </w:tc>
      </w:tr>
    </w:tbl>
    <w:p>
      <w:pPr>
        <w:pStyle w:val="3"/>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3"/>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3"/>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3"/>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投标人技术部分的实际得分少于招标文件设定的技术部分总分50%的作为无效标处理。</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第五章</w:t>
      </w:r>
      <w:r>
        <w:rPr>
          <w:rStyle w:val="5"/>
          <w:spacing w:val="0"/>
          <w:sz w:val="31"/>
          <w:szCs w:val="31"/>
        </w:rPr>
        <w:t>   </w:t>
      </w:r>
      <w:r>
        <w:rPr>
          <w:rStyle w:val="5"/>
          <w:rFonts w:hint="eastAsia" w:ascii="宋体" w:hAnsi="宋体" w:eastAsia="宋体" w:cs="宋体"/>
          <w:spacing w:val="0"/>
          <w:sz w:val="31"/>
          <w:szCs w:val="31"/>
        </w:rPr>
        <w:t>招标内容及要求</w:t>
      </w:r>
    </w:p>
    <w:p>
      <w:pPr>
        <w:pStyle w:val="3"/>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3"/>
        <w:keepNext w:val="0"/>
        <w:keepLines w:val="0"/>
        <w:widowControl/>
        <w:suppressLineNumbers w:val="0"/>
      </w:pPr>
      <w:r>
        <w:t>本项目是长乐区营前街道村庄污水入户管网一期工程项目</w:t>
      </w:r>
      <w:r>
        <w:br w:type="textWrapping"/>
      </w:r>
      <w:r>
        <w:rPr>
          <w:rFonts w:hint="eastAsia" w:ascii="宋体" w:hAnsi="宋体" w:eastAsia="宋体" w:cs="宋体"/>
          <w:sz w:val="19"/>
          <w:szCs w:val="19"/>
        </w:rPr>
        <w:t>◆</w:t>
      </w:r>
      <w:r>
        <w:t>核心产品：一体化污水处理设施</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5"/>
          <w:rFonts w:hint="eastAsia" w:ascii="宋体" w:hAnsi="宋体" w:eastAsia="宋体" w:cs="宋体"/>
          <w:spacing w:val="0"/>
          <w:sz w:val="24"/>
          <w:szCs w:val="24"/>
        </w:rPr>
        <w:t>（以“★”标示的内容为不允许负偏离的实质性要求）</w:t>
      </w:r>
    </w:p>
    <w:p>
      <w:pPr>
        <w:keepNext w:val="0"/>
        <w:keepLines w:val="0"/>
        <w:widowControl/>
        <w:suppressLineNumbers w:val="0"/>
        <w:jc w:val="left"/>
      </w:pPr>
    </w:p>
    <w:p>
      <w:pPr>
        <w:pStyle w:val="3"/>
        <w:keepNext w:val="0"/>
        <w:keepLines w:val="0"/>
        <w:widowControl/>
        <w:suppressLineNumbers w:val="0"/>
        <w:ind w:left="0" w:firstLine="285"/>
        <w:jc w:val="both"/>
      </w:pPr>
      <w:r>
        <w:rPr>
          <w:rStyle w:val="5"/>
          <w:rFonts w:hint="eastAsia" w:ascii="宋体" w:hAnsi="宋体" w:eastAsia="宋体" w:cs="宋体"/>
          <w:b/>
          <w:color w:val="393939"/>
          <w:sz w:val="24"/>
          <w:szCs w:val="24"/>
        </w:rPr>
        <w:t>（一）、镀锌钢管</w:t>
      </w:r>
      <w:r>
        <w:rPr>
          <w:rStyle w:val="5"/>
          <w:rFonts w:hint="eastAsia" w:ascii="宋体" w:hAnsi="宋体" w:eastAsia="宋体" w:cs="宋体"/>
          <w:b/>
          <w:color w:val="393939"/>
          <w:sz w:val="24"/>
          <w:szCs w:val="24"/>
          <w:shd w:val="clear" w:fill="FFFFFF"/>
        </w:rPr>
        <w:t>技术规格及要求</w:t>
      </w:r>
    </w:p>
    <w:p>
      <w:pPr>
        <w:pStyle w:val="3"/>
        <w:keepNext w:val="0"/>
        <w:keepLines w:val="0"/>
        <w:widowControl/>
        <w:suppressLineNumbers w:val="0"/>
        <w:shd w:val="clear" w:fill="FFFFFF"/>
        <w:spacing w:after="150" w:afterAutospacing="0" w:line="300" w:lineRule="atLeast"/>
      </w:pPr>
      <w:r>
        <w:rPr>
          <w:rStyle w:val="5"/>
          <w:rFonts w:hint="eastAsia" w:ascii="宋体" w:hAnsi="宋体" w:eastAsia="宋体" w:cs="宋体"/>
          <w:b/>
          <w:color w:val="393939"/>
          <w:sz w:val="24"/>
          <w:szCs w:val="24"/>
          <w:shd w:val="clear" w:fill="FFFFFF"/>
        </w:rPr>
        <w:t>镀锌钢管150*6MM,卡箍沟槽式连接方式。</w:t>
      </w:r>
    </w:p>
    <w:p>
      <w:pPr>
        <w:pStyle w:val="3"/>
        <w:keepNext w:val="0"/>
        <w:keepLines w:val="0"/>
        <w:widowControl/>
        <w:suppressLineNumbers w:val="0"/>
        <w:spacing w:after="150" w:afterAutospacing="0" w:line="300" w:lineRule="atLeast"/>
        <w:ind w:left="0" w:firstLine="120"/>
      </w:pPr>
      <w:r>
        <w:rPr>
          <w:rStyle w:val="5"/>
          <w:rFonts w:hint="eastAsia" w:ascii="宋体" w:hAnsi="宋体" w:eastAsia="宋体" w:cs="宋体"/>
          <w:b/>
          <w:color w:val="393939"/>
          <w:sz w:val="24"/>
          <w:szCs w:val="24"/>
        </w:rPr>
        <w:t>1.镀锌钢管</w:t>
      </w:r>
      <w:r>
        <w:rPr>
          <w:rFonts w:hint="eastAsia" w:ascii="宋体" w:hAnsi="宋体" w:eastAsia="宋体" w:cs="宋体"/>
          <w:color w:val="393939"/>
          <w:sz w:val="24"/>
          <w:szCs w:val="24"/>
        </w:rPr>
        <w:t>应符合GB/T3091-2015标准。</w:t>
      </w:r>
    </w:p>
    <w:p>
      <w:pPr>
        <w:pStyle w:val="3"/>
        <w:keepNext w:val="0"/>
        <w:keepLines w:val="0"/>
        <w:widowControl/>
        <w:suppressLineNumbers w:val="0"/>
        <w:spacing w:after="150" w:afterAutospacing="0" w:line="300" w:lineRule="atLeast"/>
        <w:ind w:left="0" w:firstLine="120"/>
      </w:pPr>
      <w:r>
        <w:rPr>
          <w:rFonts w:hint="eastAsia" w:ascii="宋体" w:hAnsi="宋体" w:eastAsia="宋体" w:cs="宋体"/>
          <w:color w:val="393939"/>
          <w:sz w:val="24"/>
          <w:szCs w:val="24"/>
        </w:rPr>
        <w:t>2.</w:t>
      </w:r>
      <w:r>
        <w:rPr>
          <w:rStyle w:val="5"/>
          <w:rFonts w:hint="eastAsia" w:ascii="宋体" w:hAnsi="宋体" w:eastAsia="宋体" w:cs="宋体"/>
          <w:b/>
          <w:color w:val="393939"/>
          <w:sz w:val="24"/>
          <w:szCs w:val="24"/>
        </w:rPr>
        <w:t>.尺寸、外形和重量应符合GB/T3091-2015标准。</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3.管材性能须满足以下要求：</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（1）镀锌层重量应≥300g/㎡；</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（2）碳含量应≤0.22</w:t>
      </w:r>
      <w:r>
        <w:rPr>
          <w:rFonts w:hint="eastAsia" w:ascii="宋体" w:hAnsi="宋体" w:eastAsia="宋体" w:cs="宋体"/>
          <w:color w:val="393939"/>
          <w:sz w:val="24"/>
          <w:szCs w:val="24"/>
          <w:vertAlign w:val="superscript"/>
        </w:rPr>
        <w:t>+0.02</w:t>
      </w:r>
      <w:r>
        <w:rPr>
          <w:rFonts w:hint="eastAsia" w:ascii="宋体" w:hAnsi="宋体" w:eastAsia="宋体" w:cs="宋体"/>
          <w:color w:val="393939"/>
          <w:sz w:val="24"/>
          <w:szCs w:val="24"/>
        </w:rPr>
        <w:t>；</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（3）硅含量应≤0.35</w:t>
      </w:r>
      <w:r>
        <w:rPr>
          <w:rFonts w:hint="eastAsia" w:ascii="宋体" w:hAnsi="宋体" w:eastAsia="宋体" w:cs="宋体"/>
          <w:color w:val="393939"/>
          <w:sz w:val="24"/>
          <w:szCs w:val="24"/>
          <w:vertAlign w:val="superscript"/>
        </w:rPr>
        <w:t>+0.03</w:t>
      </w:r>
      <w:r>
        <w:rPr>
          <w:rFonts w:hint="eastAsia" w:ascii="宋体" w:hAnsi="宋体" w:eastAsia="宋体" w:cs="宋体"/>
          <w:color w:val="393939"/>
          <w:sz w:val="24"/>
          <w:szCs w:val="24"/>
        </w:rPr>
        <w:t>；</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（4）锰含量应≤1.40</w:t>
      </w:r>
      <w:r>
        <w:rPr>
          <w:rFonts w:hint="eastAsia" w:ascii="宋体" w:hAnsi="宋体" w:eastAsia="宋体" w:cs="宋体"/>
          <w:color w:val="393939"/>
          <w:sz w:val="24"/>
          <w:szCs w:val="24"/>
          <w:vertAlign w:val="superscript"/>
        </w:rPr>
        <w:t>+0.06</w:t>
      </w:r>
      <w:r>
        <w:rPr>
          <w:rFonts w:hint="eastAsia" w:ascii="宋体" w:hAnsi="宋体" w:eastAsia="宋体" w:cs="宋体"/>
          <w:color w:val="393939"/>
          <w:sz w:val="24"/>
          <w:szCs w:val="24"/>
        </w:rPr>
        <w:t>；</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（5）磷含量应≤0.045</w:t>
      </w:r>
      <w:r>
        <w:rPr>
          <w:rFonts w:hint="eastAsia" w:ascii="宋体" w:hAnsi="宋体" w:eastAsia="宋体" w:cs="宋体"/>
          <w:color w:val="393939"/>
          <w:sz w:val="24"/>
          <w:szCs w:val="24"/>
          <w:vertAlign w:val="superscript"/>
        </w:rPr>
        <w:t>+0.005</w:t>
      </w:r>
      <w:r>
        <w:rPr>
          <w:rFonts w:hint="eastAsia" w:ascii="宋体" w:hAnsi="宋体" w:eastAsia="宋体" w:cs="宋体"/>
          <w:color w:val="393939"/>
          <w:sz w:val="24"/>
          <w:szCs w:val="24"/>
        </w:rPr>
        <w:t>；</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（6）拉伸强度≥370MPa；</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（7）弯曲试验；</w:t>
      </w:r>
    </w:p>
    <w:p>
      <w:pPr>
        <w:pStyle w:val="3"/>
        <w:keepNext w:val="0"/>
        <w:keepLines w:val="0"/>
        <w:widowControl/>
        <w:suppressLineNumbers w:val="0"/>
        <w:spacing w:after="150" w:afterAutospacing="0" w:line="300" w:lineRule="atLeast"/>
      </w:pPr>
      <w:r>
        <w:rPr>
          <w:rFonts w:hint="eastAsia" w:ascii="宋体" w:hAnsi="宋体" w:eastAsia="宋体" w:cs="宋体"/>
          <w:color w:val="393939"/>
          <w:sz w:val="24"/>
          <w:szCs w:val="24"/>
        </w:rPr>
        <w:t>（以上性能要求投标人均应提供送检测机构出具的合格产品报告）</w:t>
      </w:r>
    </w:p>
    <w:p>
      <w:pPr>
        <w:pStyle w:val="3"/>
        <w:keepNext w:val="0"/>
        <w:keepLines w:val="0"/>
        <w:widowControl/>
        <w:suppressLineNumbers w:val="0"/>
      </w:pPr>
      <w:r>
        <w:rPr>
          <w:rFonts w:hint="eastAsia" w:ascii="宋体" w:hAnsi="宋体" w:eastAsia="宋体" w:cs="宋体"/>
          <w:sz w:val="24"/>
          <w:szCs w:val="24"/>
        </w:rPr>
        <w:t>4.要求提供</w:t>
      </w:r>
      <w:r>
        <w:rPr>
          <w:rStyle w:val="5"/>
          <w:rFonts w:hint="eastAsia" w:ascii="宋体" w:hAnsi="宋体" w:eastAsia="宋体" w:cs="宋体"/>
          <w:b/>
          <w:color w:val="393939"/>
          <w:sz w:val="24"/>
          <w:szCs w:val="24"/>
        </w:rPr>
        <w:t>镀锌钢管符合</w:t>
      </w:r>
      <w:r>
        <w:rPr>
          <w:rFonts w:hint="eastAsia" w:ascii="宋体" w:hAnsi="宋体" w:eastAsia="宋体" w:cs="宋体"/>
          <w:color w:val="393939"/>
          <w:sz w:val="24"/>
          <w:szCs w:val="24"/>
        </w:rPr>
        <w:t>GB/T3091-2015标准的产品检测报告。</w:t>
      </w:r>
    </w:p>
    <w:p>
      <w:pPr>
        <w:pStyle w:val="3"/>
        <w:keepNext w:val="0"/>
        <w:keepLines w:val="0"/>
        <w:widowControl/>
        <w:suppressLineNumbers w:val="0"/>
        <w:jc w:val="both"/>
      </w:pPr>
      <w:r>
        <w:rPr>
          <w:rStyle w:val="5"/>
          <w:rFonts w:hint="eastAsia" w:ascii="宋体" w:hAnsi="宋体" w:eastAsia="宋体" w:cs="宋体"/>
          <w:b/>
          <w:sz w:val="24"/>
          <w:szCs w:val="24"/>
        </w:rPr>
        <w:t>（二）、HDPE双壁波纹管、镀锌钢管的技术性能说明</w:t>
      </w:r>
    </w:p>
    <w:p>
      <w:pPr>
        <w:pStyle w:val="3"/>
        <w:keepNext w:val="0"/>
        <w:keepLines w:val="0"/>
        <w:widowControl/>
        <w:suppressLineNumbers w:val="0"/>
        <w:spacing w:line="435" w:lineRule="atLeast"/>
      </w:pPr>
      <w:r>
        <w:rPr>
          <w:rFonts w:hint="eastAsia" w:ascii="宋体" w:hAnsi="宋体" w:eastAsia="宋体" w:cs="宋体"/>
          <w:sz w:val="24"/>
          <w:szCs w:val="24"/>
        </w:rPr>
        <w:t>1.质量标准</w:t>
      </w:r>
    </w:p>
    <w:p>
      <w:pPr>
        <w:pStyle w:val="3"/>
        <w:keepNext w:val="0"/>
        <w:keepLines w:val="0"/>
        <w:widowControl/>
        <w:suppressLineNumbers w:val="0"/>
        <w:spacing w:line="435" w:lineRule="atLeast"/>
      </w:pPr>
      <w:r>
        <w:rPr>
          <w:rFonts w:hint="eastAsia" w:ascii="宋体" w:hAnsi="宋体" w:eastAsia="宋体" w:cs="宋体"/>
          <w:sz w:val="24"/>
          <w:szCs w:val="24"/>
        </w:rPr>
        <w:t>必须符合</w:t>
      </w:r>
      <w:r>
        <w:rPr>
          <w:rFonts w:hint="eastAsia" w:ascii="宋体" w:hAnsi="宋体" w:eastAsia="宋体" w:cs="宋体"/>
          <w:color w:val="393939"/>
          <w:sz w:val="24"/>
          <w:szCs w:val="24"/>
        </w:rPr>
        <w:t>应符合</w:t>
      </w:r>
      <w:r>
        <w:rPr>
          <w:rFonts w:hint="eastAsia" w:ascii="宋体" w:hAnsi="宋体" w:eastAsia="宋体" w:cs="宋体"/>
          <w:sz w:val="24"/>
          <w:szCs w:val="24"/>
        </w:rPr>
        <w:t>GB/T19472.1-2004《埋地用聚乙烯(PE)结构壁管道系统　第1部分：聚乙烯双壁波纹管材的性能要求</w:t>
      </w:r>
    </w:p>
    <w:p>
      <w:pPr>
        <w:pStyle w:val="3"/>
        <w:keepNext w:val="0"/>
        <w:keepLines w:val="0"/>
        <w:widowControl/>
        <w:suppressLineNumbers w:val="0"/>
        <w:spacing w:line="435" w:lineRule="atLeast"/>
      </w:pPr>
      <w:r>
        <w:rPr>
          <w:rFonts w:hint="eastAsia" w:ascii="宋体" w:hAnsi="宋体" w:eastAsia="宋体" w:cs="宋体"/>
          <w:sz w:val="24"/>
          <w:szCs w:val="24"/>
        </w:rPr>
        <w:t>2.产品性能要求：</w:t>
      </w:r>
    </w:p>
    <w:p>
      <w:pPr>
        <w:pStyle w:val="3"/>
        <w:keepNext w:val="0"/>
        <w:keepLines w:val="0"/>
        <w:widowControl/>
        <w:suppressLineNumbers w:val="0"/>
      </w:pPr>
      <w:r>
        <w:rPr>
          <w:rFonts w:hint="eastAsia" w:ascii="宋体" w:hAnsi="宋体" w:eastAsia="宋体" w:cs="宋体"/>
          <w:sz w:val="24"/>
          <w:szCs w:val="24"/>
        </w:rPr>
        <w:t>3.1</w:t>
      </w:r>
      <w:r>
        <w:rPr>
          <w:rStyle w:val="5"/>
          <w:rFonts w:hint="eastAsia" w:ascii="宋体" w:hAnsi="宋体" w:eastAsia="宋体" w:cs="宋体"/>
          <w:b/>
          <w:sz w:val="24"/>
          <w:szCs w:val="24"/>
        </w:rPr>
        <w:t>管材须采用外绿内白设 计，可有效防止采用再生料，确保产品质量安全。</w:t>
      </w:r>
      <w:r>
        <w:rPr>
          <w:rFonts w:hint="eastAsia" w:ascii="宋体" w:hAnsi="宋体" w:eastAsia="宋体" w:cs="宋体"/>
          <w:sz w:val="24"/>
          <w:szCs w:val="24"/>
        </w:rPr>
        <w:t>（提供产品省 级含省 级以上合格的检测报告证明，原件备查）</w:t>
      </w:r>
    </w:p>
    <w:p>
      <w:pPr>
        <w:pStyle w:val="3"/>
        <w:keepNext w:val="0"/>
        <w:keepLines w:val="0"/>
        <w:widowControl/>
        <w:suppressLineNumbers w:val="0"/>
      </w:pPr>
      <w:r>
        <w:rPr>
          <w:rFonts w:hint="eastAsia" w:ascii="宋体" w:hAnsi="宋体" w:eastAsia="宋体" w:cs="宋体"/>
          <w:sz w:val="24"/>
          <w:szCs w:val="24"/>
        </w:rPr>
        <w:t>3.3管材性能须满足以下要求：</w:t>
      </w:r>
    </w:p>
    <w:p>
      <w:pPr>
        <w:pStyle w:val="3"/>
        <w:keepNext w:val="0"/>
        <w:keepLines w:val="0"/>
        <w:widowControl/>
        <w:suppressLineNumbers w:val="0"/>
        <w:ind w:left="0" w:firstLine="420"/>
      </w:pPr>
      <w:r>
        <w:rPr>
          <w:rFonts w:hint="eastAsia" w:ascii="宋体" w:hAnsi="宋体" w:eastAsia="宋体" w:cs="宋体"/>
          <w:sz w:val="24"/>
          <w:szCs w:val="24"/>
        </w:rPr>
        <w:t>（1）环刚度≥8KN/m3;</w:t>
      </w:r>
    </w:p>
    <w:p>
      <w:pPr>
        <w:pStyle w:val="3"/>
        <w:keepNext w:val="0"/>
        <w:keepLines w:val="0"/>
        <w:widowControl/>
        <w:suppressLineNumbers w:val="0"/>
        <w:ind w:left="0" w:firstLine="420"/>
      </w:pPr>
      <w:r>
        <w:rPr>
          <w:rFonts w:hint="eastAsia" w:ascii="宋体" w:hAnsi="宋体" w:eastAsia="宋体" w:cs="宋体"/>
          <w:sz w:val="24"/>
          <w:szCs w:val="24"/>
        </w:rPr>
        <w:t>（2）维卡耐热（10%，50°C/h）≥150;</w:t>
      </w:r>
    </w:p>
    <w:p>
      <w:pPr>
        <w:pStyle w:val="3"/>
        <w:keepNext w:val="0"/>
        <w:keepLines w:val="0"/>
        <w:widowControl/>
        <w:suppressLineNumbers w:val="0"/>
        <w:ind w:left="0" w:firstLine="420"/>
      </w:pPr>
      <w:r>
        <w:rPr>
          <w:rFonts w:hint="eastAsia" w:ascii="宋体" w:hAnsi="宋体" w:eastAsia="宋体" w:cs="宋体"/>
          <w:sz w:val="24"/>
          <w:szCs w:val="24"/>
        </w:rPr>
        <w:t>（3）耐腐蚀度（60% HCL,60°C,165h）无开裂、无破碎；</w:t>
      </w:r>
    </w:p>
    <w:p>
      <w:pPr>
        <w:pStyle w:val="3"/>
        <w:keepNext w:val="0"/>
        <w:keepLines w:val="0"/>
        <w:widowControl/>
        <w:suppressLineNumbers w:val="0"/>
        <w:ind w:left="0" w:firstLine="420"/>
      </w:pPr>
      <w:r>
        <w:rPr>
          <w:rFonts w:hint="eastAsia" w:ascii="宋体" w:hAnsi="宋体" w:eastAsia="宋体" w:cs="宋体"/>
          <w:sz w:val="24"/>
          <w:szCs w:val="24"/>
        </w:rPr>
        <w:t>（4）耐腐蚀度（40% NaOH,60°C,165h）无开裂、无破碎;</w:t>
      </w:r>
    </w:p>
    <w:p>
      <w:pPr>
        <w:pStyle w:val="3"/>
        <w:keepNext w:val="0"/>
        <w:keepLines w:val="0"/>
        <w:widowControl/>
        <w:suppressLineNumbers w:val="0"/>
        <w:ind w:left="0" w:firstLine="420"/>
      </w:pPr>
      <w:r>
        <w:rPr>
          <w:rFonts w:hint="eastAsia" w:ascii="宋体" w:hAnsi="宋体" w:eastAsia="宋体" w:cs="宋体"/>
          <w:sz w:val="24"/>
          <w:szCs w:val="24"/>
        </w:rPr>
        <w:t>（5）环柔性无反向弯曲，无破裂，两壁无脱开；</w:t>
      </w:r>
    </w:p>
    <w:p>
      <w:pPr>
        <w:pStyle w:val="3"/>
        <w:keepNext w:val="0"/>
        <w:keepLines w:val="0"/>
        <w:widowControl/>
        <w:suppressLineNumbers w:val="0"/>
        <w:ind w:left="0" w:firstLine="420"/>
      </w:pPr>
      <w:r>
        <w:rPr>
          <w:rFonts w:hint="eastAsia" w:ascii="宋体" w:hAnsi="宋体" w:eastAsia="宋体" w:cs="宋体"/>
          <w:sz w:val="24"/>
          <w:szCs w:val="24"/>
        </w:rPr>
        <w:t>（6）产品须无气泡，无分层，无开裂；</w:t>
      </w:r>
    </w:p>
    <w:p>
      <w:pPr>
        <w:pStyle w:val="3"/>
        <w:keepNext w:val="0"/>
        <w:keepLines w:val="0"/>
        <w:widowControl/>
        <w:suppressLineNumbers w:val="0"/>
        <w:ind w:left="0" w:firstLine="420"/>
      </w:pPr>
      <w:r>
        <w:rPr>
          <w:rFonts w:hint="eastAsia" w:ascii="宋体" w:hAnsi="宋体" w:eastAsia="宋体" w:cs="宋体"/>
          <w:sz w:val="24"/>
          <w:szCs w:val="24"/>
        </w:rPr>
        <w:t>（7）蠕变性≤4. </w:t>
      </w:r>
    </w:p>
    <w:p>
      <w:pPr>
        <w:pStyle w:val="3"/>
        <w:keepNext w:val="0"/>
        <w:keepLines w:val="0"/>
        <w:widowControl/>
        <w:suppressLineNumbers w:val="0"/>
        <w:shd w:val="clear" w:fill="FFFFFF"/>
        <w:spacing w:after="150" w:afterAutospacing="0" w:line="300" w:lineRule="atLeast"/>
      </w:pPr>
      <w:r>
        <w:rPr>
          <w:rFonts w:hint="eastAsia" w:ascii="宋体" w:hAnsi="宋体" w:eastAsia="宋体" w:cs="宋体"/>
          <w:color w:val="393939"/>
          <w:sz w:val="24"/>
          <w:szCs w:val="24"/>
          <w:shd w:val="clear" w:fill="FFFFFF"/>
        </w:rPr>
        <w:t>（</w:t>
      </w:r>
      <w:r>
        <w:rPr>
          <w:rFonts w:hint="eastAsia" w:ascii="宋体" w:hAnsi="宋体" w:eastAsia="宋体" w:cs="宋体"/>
          <w:sz w:val="24"/>
          <w:szCs w:val="24"/>
          <w:shd w:val="clear" w:fill="FFFFFF"/>
        </w:rPr>
        <w:t>以上各项性能均应</w:t>
      </w:r>
      <w:r>
        <w:rPr>
          <w:rFonts w:hint="eastAsia" w:ascii="宋体" w:hAnsi="宋体" w:eastAsia="宋体" w:cs="宋体"/>
          <w:color w:val="393939"/>
          <w:sz w:val="24"/>
          <w:szCs w:val="24"/>
          <w:shd w:val="clear" w:fill="FFFFFF"/>
        </w:rPr>
        <w:t>提供送检单位与投标人名 称一致具有通过CNAS、CAL部门的认证取得CMA认定证书的产品合格检测报告）</w:t>
      </w:r>
    </w:p>
    <w:p>
      <w:pPr>
        <w:pStyle w:val="3"/>
        <w:keepNext w:val="0"/>
        <w:keepLines w:val="0"/>
        <w:widowControl/>
        <w:suppressLineNumbers w:val="0"/>
      </w:pPr>
      <w:r>
        <w:rPr>
          <w:rFonts w:hint="eastAsia" w:ascii="宋体" w:hAnsi="宋体" w:eastAsia="宋体" w:cs="宋体"/>
          <w:color w:val="393939"/>
          <w:sz w:val="24"/>
          <w:szCs w:val="24"/>
          <w:shd w:val="clear" w:fill="FFFFFF"/>
        </w:rPr>
        <w:t>  (8)管材与套筒的系统适应性</w:t>
      </w:r>
    </w:p>
    <w:p>
      <w:pPr>
        <w:pStyle w:val="3"/>
        <w:keepNext w:val="0"/>
        <w:keepLines w:val="0"/>
        <w:widowControl/>
        <w:suppressLineNumbers w:val="0"/>
      </w:pPr>
      <w:r>
        <w:rPr>
          <w:rFonts w:hint="eastAsia" w:ascii="宋体" w:hAnsi="宋体" w:eastAsia="宋体" w:cs="宋体"/>
          <w:sz w:val="24"/>
          <w:szCs w:val="24"/>
        </w:rPr>
        <w:t>该性能是为了测试管材、套筒及胶圈在模拟各种环境中的密封性能（比如:地基下沉、移位等情况）以确保材料的可靠性。</w:t>
      </w:r>
    </w:p>
    <w:p>
      <w:pPr>
        <w:pStyle w:val="3"/>
        <w:keepNext w:val="0"/>
        <w:keepLines w:val="0"/>
        <w:widowControl/>
        <w:suppressLineNumbers w:val="0"/>
        <w:shd w:val="clear" w:fill="FFFFFF"/>
        <w:spacing w:after="150" w:afterAutospacing="0" w:line="300" w:lineRule="atLeast"/>
      </w:pPr>
      <w:r>
        <w:rPr>
          <w:rFonts w:hint="eastAsia" w:ascii="宋体" w:hAnsi="宋体" w:eastAsia="宋体" w:cs="宋体"/>
          <w:color w:val="393939"/>
          <w:sz w:val="24"/>
          <w:szCs w:val="24"/>
          <w:shd w:val="clear" w:fill="FFFFFF"/>
        </w:rPr>
        <w:t>（提供送检单位与投标人名 称一致具有通过CNAS、CAL部门的认证取得CMA认定证书的产品合格检测报告）</w:t>
      </w:r>
    </w:p>
    <w:p>
      <w:pPr>
        <w:pStyle w:val="3"/>
        <w:keepNext w:val="0"/>
        <w:keepLines w:val="0"/>
        <w:widowControl/>
        <w:suppressLineNumbers w:val="0"/>
      </w:pPr>
      <w:r>
        <w:rPr>
          <w:rFonts w:hint="eastAsia" w:ascii="宋体" w:hAnsi="宋体" w:eastAsia="宋体" w:cs="宋体"/>
          <w:sz w:val="24"/>
          <w:szCs w:val="24"/>
        </w:rPr>
        <w:t>3.4胶圈性能满足以下要求：</w:t>
      </w:r>
    </w:p>
    <w:p>
      <w:pPr>
        <w:pStyle w:val="3"/>
        <w:keepNext w:val="0"/>
        <w:keepLines w:val="0"/>
        <w:widowControl/>
        <w:suppressLineNumbers w:val="0"/>
        <w:spacing w:line="450" w:lineRule="atLeast"/>
        <w:ind w:left="0" w:firstLine="555"/>
      </w:pPr>
      <w:r>
        <w:rPr>
          <w:rFonts w:hint="eastAsia" w:ascii="宋体" w:hAnsi="宋体" w:eastAsia="宋体" w:cs="宋体"/>
          <w:b w:val="0"/>
          <w:sz w:val="24"/>
          <w:szCs w:val="24"/>
        </w:rPr>
        <w:t>胶圈选用三元乙丙橡胶。胶圈所采用的材料耐老化性好，防腐性能好，符合相关规定。胶圈的尺寸、外形及技术要求应符合ISO4633或GB/T 21873-2008规定。接口所用的橡胶圈不应有气孔、裂缝和重皮，其性能应符合系列要求：</w:t>
      </w:r>
    </w:p>
    <w:p>
      <w:pPr>
        <w:pStyle w:val="3"/>
        <w:keepNext w:val="0"/>
        <w:keepLines w:val="0"/>
        <w:widowControl/>
        <w:suppressLineNumbers w:val="0"/>
        <w:spacing w:line="450" w:lineRule="atLeast"/>
        <w:ind w:left="360" w:firstLine="495"/>
      </w:pPr>
      <w:r>
        <w:rPr>
          <w:rFonts w:hint="eastAsia" w:ascii="宋体" w:hAnsi="宋体" w:eastAsia="宋体" w:cs="宋体"/>
          <w:sz w:val="24"/>
          <w:szCs w:val="24"/>
        </w:rPr>
        <w:t>（1）邵氏硬度为45-55度；</w:t>
      </w:r>
    </w:p>
    <w:p>
      <w:pPr>
        <w:pStyle w:val="3"/>
        <w:keepNext w:val="0"/>
        <w:keepLines w:val="0"/>
        <w:widowControl/>
        <w:suppressLineNumbers w:val="0"/>
        <w:spacing w:line="450" w:lineRule="atLeast"/>
        <w:ind w:left="360" w:firstLine="495"/>
      </w:pPr>
      <w:r>
        <w:rPr>
          <w:rFonts w:hint="eastAsia" w:ascii="宋体" w:hAnsi="宋体" w:eastAsia="宋体" w:cs="宋体"/>
          <w:sz w:val="24"/>
          <w:szCs w:val="24"/>
        </w:rPr>
        <w:t>（2）伸长率≥500%；</w:t>
      </w:r>
    </w:p>
    <w:p>
      <w:pPr>
        <w:pStyle w:val="3"/>
        <w:keepNext w:val="0"/>
        <w:keepLines w:val="0"/>
        <w:widowControl/>
        <w:suppressLineNumbers w:val="0"/>
        <w:spacing w:line="450" w:lineRule="atLeast"/>
        <w:ind w:left="360" w:firstLine="495"/>
      </w:pPr>
      <w:r>
        <w:rPr>
          <w:rFonts w:hint="eastAsia" w:ascii="宋体" w:hAnsi="宋体" w:eastAsia="宋体" w:cs="宋体"/>
          <w:sz w:val="24"/>
          <w:szCs w:val="24"/>
        </w:rPr>
        <w:t>（3）拉断强度≥16Mpa；</w:t>
      </w:r>
    </w:p>
    <w:p>
      <w:pPr>
        <w:pStyle w:val="3"/>
        <w:keepNext w:val="0"/>
        <w:keepLines w:val="0"/>
        <w:widowControl/>
        <w:suppressLineNumbers w:val="0"/>
        <w:spacing w:line="450" w:lineRule="atLeast"/>
        <w:ind w:left="360" w:firstLine="495"/>
      </w:pPr>
      <w:r>
        <w:rPr>
          <w:rFonts w:hint="eastAsia" w:ascii="宋体" w:hAnsi="宋体" w:eastAsia="宋体" w:cs="宋体"/>
          <w:sz w:val="24"/>
          <w:szCs w:val="24"/>
        </w:rPr>
        <w:t>（4）永久变形＜20%；</w:t>
      </w:r>
    </w:p>
    <w:p>
      <w:pPr>
        <w:pStyle w:val="3"/>
        <w:keepNext w:val="0"/>
        <w:keepLines w:val="0"/>
        <w:widowControl/>
        <w:suppressLineNumbers w:val="0"/>
        <w:spacing w:line="450" w:lineRule="atLeast"/>
        <w:ind w:left="360" w:firstLine="495"/>
      </w:pPr>
      <w:r>
        <w:rPr>
          <w:rFonts w:hint="eastAsia" w:ascii="宋体" w:hAnsi="宋体" w:eastAsia="宋体" w:cs="宋体"/>
          <w:sz w:val="24"/>
          <w:szCs w:val="24"/>
        </w:rPr>
        <w:t>（5）老化系数＞0.8；70℃×144小时。</w:t>
      </w:r>
    </w:p>
    <w:p>
      <w:pPr>
        <w:pStyle w:val="3"/>
        <w:keepNext w:val="0"/>
        <w:keepLines w:val="0"/>
        <w:widowControl/>
        <w:suppressLineNumbers w:val="0"/>
        <w:spacing w:line="450" w:lineRule="atLeast"/>
        <w:ind w:left="360" w:firstLine="495"/>
      </w:pPr>
      <w:r>
        <w:rPr>
          <w:rFonts w:hint="eastAsia" w:ascii="宋体" w:hAnsi="宋体" w:eastAsia="宋体" w:cs="宋体"/>
          <w:sz w:val="24"/>
          <w:szCs w:val="24"/>
        </w:rPr>
        <w:t>（6）耐臭氧（50*10*40℃*48h*拉伸20%）无龟裂。</w:t>
      </w:r>
    </w:p>
    <w:p>
      <w:pPr>
        <w:pStyle w:val="3"/>
        <w:keepNext w:val="0"/>
        <w:keepLines w:val="0"/>
        <w:widowControl/>
        <w:suppressLineNumbers w:val="0"/>
        <w:shd w:val="clear" w:fill="FFFFFF"/>
        <w:spacing w:after="150" w:afterAutospacing="0" w:line="300" w:lineRule="atLeast"/>
      </w:pPr>
      <w:r>
        <w:rPr>
          <w:rFonts w:hint="eastAsia" w:ascii="宋体" w:hAnsi="宋体" w:eastAsia="宋体" w:cs="宋体"/>
          <w:color w:val="393939"/>
          <w:sz w:val="24"/>
          <w:szCs w:val="24"/>
          <w:shd w:val="clear" w:fill="FFFFFF"/>
        </w:rPr>
        <w:t>（以上性能要求投标人均应提供送检单位与投标人名 称一致具有通过CNAS、CAL部门的认证取得CMA认定证书的产品合格检测报告）</w:t>
      </w:r>
    </w:p>
    <w:p>
      <w:pPr>
        <w:pStyle w:val="3"/>
        <w:keepNext w:val="0"/>
        <w:keepLines w:val="0"/>
        <w:widowControl/>
        <w:suppressLineNumbers w:val="0"/>
      </w:pPr>
      <w:r>
        <w:rPr>
          <w:rStyle w:val="5"/>
          <w:rFonts w:hint="eastAsia" w:ascii="宋体" w:hAnsi="宋体" w:eastAsia="宋体" w:cs="宋体"/>
          <w:b/>
          <w:sz w:val="24"/>
          <w:szCs w:val="24"/>
        </w:rPr>
        <w:t> </w:t>
      </w:r>
    </w:p>
    <w:p>
      <w:pPr>
        <w:pStyle w:val="3"/>
        <w:keepNext w:val="0"/>
        <w:keepLines w:val="0"/>
        <w:widowControl/>
        <w:suppressLineNumbers w:val="0"/>
        <w:jc w:val="both"/>
      </w:pPr>
      <w:r>
        <w:rPr>
          <w:rStyle w:val="5"/>
          <w:rFonts w:hint="eastAsia" w:ascii="宋体" w:hAnsi="宋体" w:eastAsia="宋体" w:cs="宋体"/>
          <w:b/>
          <w:sz w:val="24"/>
          <w:szCs w:val="24"/>
        </w:rPr>
        <w:t>4.镀锌钢管提供锌层厚度</w:t>
      </w:r>
      <w:r>
        <w:rPr>
          <w:rFonts w:hint="eastAsia" w:ascii="宋体" w:hAnsi="宋体" w:eastAsia="宋体" w:cs="宋体"/>
          <w:color w:val="393939"/>
          <w:sz w:val="24"/>
          <w:szCs w:val="24"/>
        </w:rPr>
        <w:t>喷锌量应不小于300g/㎡的具有</w:t>
      </w:r>
      <w:r>
        <w:rPr>
          <w:rFonts w:hint="eastAsia" w:ascii="宋体" w:hAnsi="宋体" w:eastAsia="宋体" w:cs="宋体"/>
          <w:color w:val="393939"/>
          <w:sz w:val="24"/>
          <w:szCs w:val="24"/>
          <w:shd w:val="clear" w:fill="FFFFFF"/>
        </w:rPr>
        <w:t>通过CNAS、CAL部门的认证取得大CMA认定证书的产品合格检测报告</w:t>
      </w:r>
    </w:p>
    <w:p>
      <w:pPr>
        <w:pStyle w:val="3"/>
        <w:keepNext w:val="0"/>
        <w:keepLines w:val="0"/>
        <w:widowControl/>
        <w:suppressLineNumbers w:val="0"/>
        <w:jc w:val="both"/>
      </w:pPr>
      <w:r>
        <w:rPr>
          <w:rFonts w:hint="eastAsia" w:ascii="宋体" w:hAnsi="宋体" w:eastAsia="宋体" w:cs="宋体"/>
          <w:color w:val="393939"/>
          <w:sz w:val="24"/>
          <w:szCs w:val="24"/>
          <w:shd w:val="clear" w:fill="FFFFFF"/>
        </w:rPr>
        <w:t> </w:t>
      </w:r>
    </w:p>
    <w:p>
      <w:pPr>
        <w:pStyle w:val="3"/>
        <w:keepNext w:val="0"/>
        <w:keepLines w:val="0"/>
        <w:widowControl/>
        <w:suppressLineNumbers w:val="0"/>
        <w:ind w:left="0" w:firstLine="555"/>
        <w:jc w:val="both"/>
      </w:pPr>
      <w:r>
        <w:rPr>
          <w:rStyle w:val="5"/>
          <w:rFonts w:hint="eastAsia" w:ascii="宋体" w:hAnsi="宋体" w:eastAsia="宋体" w:cs="宋体"/>
          <w:b/>
          <w:sz w:val="24"/>
          <w:szCs w:val="24"/>
        </w:rPr>
        <w:t>（三）、一体化泵站的基本参数要求：</w:t>
      </w:r>
    </w:p>
    <w:p>
      <w:pPr>
        <w:pStyle w:val="3"/>
        <w:keepNext w:val="0"/>
        <w:keepLines w:val="0"/>
        <w:widowControl/>
        <w:suppressLineNumbers w:val="0"/>
        <w:ind w:left="0" w:firstLine="570"/>
      </w:pPr>
      <w:r>
        <w:rPr>
          <w:rStyle w:val="5"/>
          <w:rFonts w:hint="eastAsia" w:ascii="宋体" w:hAnsi="宋体" w:eastAsia="宋体" w:cs="宋体"/>
          <w:b/>
          <w:sz w:val="24"/>
          <w:szCs w:val="24"/>
        </w:rPr>
        <w:t>1、一体化泵站的主要组件：</w:t>
      </w:r>
      <w:r>
        <w:rPr>
          <w:rFonts w:hint="eastAsia" w:ascii="宋体" w:hAnsi="宋体" w:eastAsia="宋体" w:cs="宋体"/>
          <w:color w:val="393939"/>
          <w:sz w:val="24"/>
          <w:szCs w:val="24"/>
        </w:rPr>
        <w:t>玻璃钢筒体、潜污泵、控制系统应采用同一制造厂商，确保设备的完整匹配性，和售 后服务的统一性；</w:t>
      </w:r>
    </w:p>
    <w:p>
      <w:pPr>
        <w:pStyle w:val="3"/>
        <w:keepNext w:val="0"/>
        <w:keepLines w:val="0"/>
        <w:widowControl/>
        <w:suppressLineNumbers w:val="0"/>
        <w:ind w:left="0" w:firstLine="570"/>
      </w:pPr>
      <w:r>
        <w:rPr>
          <w:rFonts w:hint="eastAsia" w:ascii="宋体" w:hAnsi="宋体" w:eastAsia="宋体" w:cs="宋体"/>
          <w:sz w:val="24"/>
          <w:szCs w:val="24"/>
        </w:rPr>
        <w:t> </w:t>
      </w:r>
    </w:p>
    <w:p>
      <w:pPr>
        <w:pStyle w:val="3"/>
        <w:keepNext w:val="0"/>
        <w:keepLines w:val="0"/>
        <w:widowControl/>
        <w:suppressLineNumbers w:val="0"/>
        <w:ind w:left="0" w:firstLine="555"/>
        <w:jc w:val="both"/>
      </w:pPr>
      <w:r>
        <w:rPr>
          <w:rStyle w:val="5"/>
          <w:rFonts w:hint="eastAsia" w:ascii="宋体" w:hAnsi="宋体" w:eastAsia="宋体" w:cs="宋体"/>
          <w:b/>
          <w:sz w:val="24"/>
          <w:szCs w:val="24"/>
        </w:rPr>
        <w:t>2、为确保泵站埋地后能承受周边的土壤和地下水的压力，泵站筒体的强度须满足要求：</w:t>
      </w:r>
    </w:p>
    <w:p>
      <w:pPr>
        <w:pStyle w:val="3"/>
        <w:keepNext w:val="0"/>
        <w:keepLines w:val="0"/>
        <w:widowControl/>
        <w:suppressLineNumbers w:val="0"/>
        <w:ind w:left="225" w:firstLine="405"/>
      </w:pPr>
      <w:r>
        <w:rPr>
          <w:rFonts w:hint="eastAsia" w:ascii="宋体" w:hAnsi="宋体" w:eastAsia="宋体" w:cs="宋体"/>
          <w:color w:val="393939"/>
          <w:sz w:val="24"/>
          <w:szCs w:val="24"/>
        </w:rPr>
        <w:t>（1）、密度≥1.85 g/cm3；</w:t>
      </w:r>
    </w:p>
    <w:p>
      <w:pPr>
        <w:pStyle w:val="3"/>
        <w:keepNext w:val="0"/>
        <w:keepLines w:val="0"/>
        <w:widowControl/>
        <w:suppressLineNumbers w:val="0"/>
        <w:ind w:left="705"/>
      </w:pPr>
      <w:r>
        <w:rPr>
          <w:rFonts w:hint="eastAsia" w:ascii="宋体" w:hAnsi="宋体" w:eastAsia="宋体" w:cs="宋体"/>
          <w:color w:val="393939"/>
          <w:sz w:val="24"/>
          <w:szCs w:val="24"/>
        </w:rPr>
        <w:t>（2）、内衬层树脂含量≥70%；</w:t>
      </w:r>
    </w:p>
    <w:p>
      <w:pPr>
        <w:pStyle w:val="3"/>
        <w:keepNext w:val="0"/>
        <w:keepLines w:val="0"/>
        <w:widowControl/>
        <w:suppressLineNumbers w:val="0"/>
        <w:ind w:left="705"/>
      </w:pPr>
      <w:r>
        <w:rPr>
          <w:rFonts w:hint="eastAsia" w:ascii="宋体" w:hAnsi="宋体" w:eastAsia="宋体" w:cs="宋体"/>
          <w:color w:val="393939"/>
          <w:sz w:val="24"/>
          <w:szCs w:val="24"/>
        </w:rPr>
        <w:t>（3）、结构层树脂含量≥30%；</w:t>
      </w:r>
    </w:p>
    <w:p>
      <w:pPr>
        <w:pStyle w:val="3"/>
        <w:keepNext w:val="0"/>
        <w:keepLines w:val="0"/>
        <w:widowControl/>
        <w:suppressLineNumbers w:val="0"/>
        <w:ind w:left="705"/>
      </w:pPr>
      <w:r>
        <w:rPr>
          <w:rFonts w:hint="eastAsia" w:ascii="宋体" w:hAnsi="宋体" w:eastAsia="宋体" w:cs="宋体"/>
          <w:color w:val="393939"/>
          <w:sz w:val="24"/>
          <w:szCs w:val="24"/>
        </w:rPr>
        <w:t>（4）、环向拉伸强度≥600MPa；</w:t>
      </w:r>
    </w:p>
    <w:p>
      <w:pPr>
        <w:pStyle w:val="3"/>
        <w:keepNext w:val="0"/>
        <w:keepLines w:val="0"/>
        <w:widowControl/>
        <w:suppressLineNumbers w:val="0"/>
        <w:ind w:left="705"/>
      </w:pPr>
      <w:r>
        <w:rPr>
          <w:rFonts w:hint="eastAsia" w:ascii="宋体" w:hAnsi="宋体" w:eastAsia="宋体" w:cs="宋体"/>
          <w:color w:val="393939"/>
          <w:sz w:val="24"/>
          <w:szCs w:val="24"/>
        </w:rPr>
        <w:t>（5）、轴向拉伸强度≥70Mpa；</w:t>
      </w:r>
    </w:p>
    <w:p>
      <w:pPr>
        <w:pStyle w:val="3"/>
        <w:keepNext w:val="0"/>
        <w:keepLines w:val="0"/>
        <w:widowControl/>
        <w:suppressLineNumbers w:val="0"/>
        <w:ind w:left="705"/>
      </w:pPr>
      <w:r>
        <w:rPr>
          <w:rFonts w:hint="eastAsia" w:ascii="宋体" w:hAnsi="宋体" w:eastAsia="宋体" w:cs="宋体"/>
          <w:color w:val="393939"/>
          <w:sz w:val="24"/>
          <w:szCs w:val="24"/>
        </w:rPr>
        <w:t>（6）、环向弯曲强度≥440MPa；</w:t>
      </w:r>
    </w:p>
    <w:p>
      <w:pPr>
        <w:pStyle w:val="3"/>
        <w:keepNext w:val="0"/>
        <w:keepLines w:val="0"/>
        <w:widowControl/>
        <w:suppressLineNumbers w:val="0"/>
        <w:ind w:left="705"/>
      </w:pPr>
      <w:r>
        <w:rPr>
          <w:rFonts w:hint="eastAsia" w:ascii="宋体" w:hAnsi="宋体" w:eastAsia="宋体" w:cs="宋体"/>
          <w:color w:val="393939"/>
          <w:sz w:val="24"/>
          <w:szCs w:val="24"/>
        </w:rPr>
        <w:t>（7）、筒体巴氏硬度≥50Hba。</w:t>
      </w:r>
    </w:p>
    <w:p>
      <w:pPr>
        <w:pStyle w:val="3"/>
        <w:keepNext w:val="0"/>
        <w:keepLines w:val="0"/>
        <w:widowControl/>
        <w:suppressLineNumbers w:val="0"/>
      </w:pPr>
      <w:r>
        <w:rPr>
          <w:rFonts w:hint="eastAsia" w:ascii="宋体" w:hAnsi="宋体" w:eastAsia="宋体" w:cs="宋体"/>
          <w:color w:val="393939"/>
          <w:sz w:val="24"/>
          <w:szCs w:val="24"/>
        </w:rPr>
        <w:t>制造商应具有国家级检测机构（检测机构须具有通过资格评定国家认可委员会认证和计量认证，即</w:t>
      </w:r>
      <w:r>
        <w:rPr>
          <w:rFonts w:hint="eastAsia" w:ascii="宋体" w:hAnsi="宋体" w:eastAsia="宋体" w:cs="宋体"/>
          <w:color w:val="393939"/>
          <w:sz w:val="24"/>
          <w:szCs w:val="24"/>
          <w:shd w:val="clear" w:fill="FFFFFF"/>
        </w:rPr>
        <w:t>通过CNAS、CAL部门的认证取得CMA认定证书的产品合格检测报告</w:t>
      </w:r>
      <w:r>
        <w:rPr>
          <w:rFonts w:hint="eastAsia" w:ascii="宋体" w:hAnsi="宋体" w:eastAsia="宋体" w:cs="宋体"/>
          <w:color w:val="393939"/>
          <w:sz w:val="24"/>
          <w:szCs w:val="24"/>
        </w:rPr>
        <w:t>）出具的产品检测报告证明符合以上技术要求。</w:t>
      </w:r>
    </w:p>
    <w:p>
      <w:pPr>
        <w:pStyle w:val="3"/>
        <w:keepNext w:val="0"/>
        <w:keepLines w:val="0"/>
        <w:widowControl/>
        <w:suppressLineNumbers w:val="0"/>
        <w:ind w:left="0" w:firstLine="570"/>
      </w:pPr>
      <w:r>
        <w:rPr>
          <w:rStyle w:val="5"/>
          <w:rFonts w:hint="eastAsia" w:ascii="宋体" w:hAnsi="宋体" w:eastAsia="宋体" w:cs="宋体"/>
          <w:b/>
          <w:sz w:val="24"/>
          <w:szCs w:val="24"/>
        </w:rPr>
        <w:t>3、泵的潜水电机的防护等级</w:t>
      </w:r>
      <w:r>
        <w:rPr>
          <w:rFonts w:hint="eastAsia" w:ascii="宋体" w:hAnsi="宋体" w:eastAsia="宋体" w:cs="宋体"/>
          <w:color w:val="393939"/>
          <w:sz w:val="24"/>
          <w:szCs w:val="24"/>
        </w:rPr>
        <w:t>为IP68级，绝缘等级为H级，180℃，B级温升等级。配备电机的额定功率保证水泵在整个性能曲线中不会发生过载现象。电机每小时运行启动次数不小于30次。为确保最大程度的排放涝区内的积水，排涝泵站的潜水泵须能在超低水位下运行——在电机露出水面后仍在继续泵送而能正常散热，潜水泵必须配内置冷凝液的冷却夹套，冷凝液密封在冷却夹套内通过内部结构形成封闭式循环，与外界泵送介质完全隔离。</w:t>
      </w:r>
    </w:p>
    <w:p>
      <w:pPr>
        <w:pStyle w:val="3"/>
        <w:keepNext w:val="0"/>
        <w:keepLines w:val="0"/>
        <w:widowControl/>
        <w:suppressLineNumbers w:val="0"/>
        <w:ind w:left="0" w:firstLine="570"/>
      </w:pPr>
      <w:r>
        <w:rPr>
          <w:rStyle w:val="5"/>
          <w:rFonts w:hint="eastAsia" w:ascii="宋体" w:hAnsi="宋体" w:eastAsia="宋体" w:cs="宋体"/>
          <w:b/>
          <w:sz w:val="24"/>
          <w:szCs w:val="24"/>
        </w:rPr>
        <w:t>4、泵站配套控制柜防护等级IP55，控制系统应具备高效的远程管理功能：</w:t>
      </w:r>
    </w:p>
    <w:p>
      <w:pPr>
        <w:pStyle w:val="3"/>
        <w:keepNext w:val="0"/>
        <w:keepLines w:val="0"/>
        <w:widowControl/>
        <w:suppressLineNumbers w:val="0"/>
        <w:ind w:left="0" w:firstLine="570"/>
      </w:pPr>
      <w:r>
        <w:rPr>
          <w:rFonts w:hint="eastAsia" w:ascii="宋体" w:hAnsi="宋体" w:eastAsia="宋体" w:cs="宋体"/>
          <w:color w:val="393939"/>
          <w:sz w:val="24"/>
          <w:szCs w:val="24"/>
        </w:rPr>
        <w:t>4.1、流动性的现场管理人员能通过手机登录控制系统，随时随地监控泵站运行状况——具备可通过手机APP实现水泵及周边设备的远程监控云平台；</w:t>
      </w:r>
    </w:p>
    <w:p>
      <w:pPr>
        <w:pStyle w:val="3"/>
        <w:keepNext w:val="0"/>
        <w:keepLines w:val="0"/>
        <w:widowControl/>
        <w:suppressLineNumbers w:val="0"/>
        <w:ind w:left="0" w:firstLine="570"/>
      </w:pPr>
      <w:r>
        <w:rPr>
          <w:rFonts w:hint="eastAsia" w:ascii="宋体" w:hAnsi="宋体" w:eastAsia="宋体" w:cs="宋体"/>
          <w:color w:val="393939"/>
          <w:sz w:val="24"/>
          <w:szCs w:val="24"/>
        </w:rPr>
        <w:t>4.2、排水管理中心的24小时值班人员能通过电脑登陆控制系统，24小时远程监控泵站运行状况——具备通过网页客户端实现水泵及周边设备的远程监控云平台。</w:t>
      </w:r>
    </w:p>
    <w:p>
      <w:pPr>
        <w:pStyle w:val="3"/>
        <w:keepNext w:val="0"/>
        <w:keepLines w:val="0"/>
        <w:widowControl/>
        <w:suppressLineNumbers w:val="0"/>
        <w:ind w:left="0" w:firstLine="555"/>
        <w:jc w:val="both"/>
      </w:pPr>
      <w:r>
        <w:rPr>
          <w:rStyle w:val="5"/>
          <w:rFonts w:hint="eastAsia" w:ascii="宋体" w:hAnsi="宋体" w:eastAsia="宋体" w:cs="宋体"/>
          <w:b/>
          <w:sz w:val="24"/>
          <w:szCs w:val="24"/>
        </w:rPr>
        <w:t>5、尽量减小泵站对周边环境的影响要求：</w:t>
      </w:r>
    </w:p>
    <w:p>
      <w:pPr>
        <w:pStyle w:val="3"/>
        <w:keepNext w:val="0"/>
        <w:keepLines w:val="0"/>
        <w:widowControl/>
        <w:suppressLineNumbers w:val="0"/>
        <w:ind w:left="0" w:firstLine="570"/>
      </w:pPr>
      <w:r>
        <w:rPr>
          <w:rFonts w:hint="eastAsia" w:ascii="宋体" w:hAnsi="宋体" w:eastAsia="宋体" w:cs="宋体"/>
          <w:color w:val="393939"/>
          <w:sz w:val="24"/>
          <w:szCs w:val="24"/>
        </w:rPr>
        <w:t>5.1、泵站的噪声对周边影响要求：泵站外3米处的噪声检测值不高于58 dB(A)，泵站内部服务平台上的最大噪声检测值不高于75 dB(A)。</w:t>
      </w:r>
    </w:p>
    <w:p>
      <w:pPr>
        <w:pStyle w:val="3"/>
        <w:keepNext w:val="0"/>
        <w:keepLines w:val="0"/>
        <w:widowControl/>
        <w:suppressLineNumbers w:val="0"/>
        <w:ind w:left="0" w:firstLine="570"/>
      </w:pPr>
      <w:r>
        <w:rPr>
          <w:rFonts w:hint="eastAsia" w:ascii="宋体" w:hAnsi="宋体" w:eastAsia="宋体" w:cs="宋体"/>
          <w:color w:val="393939"/>
          <w:sz w:val="24"/>
          <w:szCs w:val="24"/>
        </w:rPr>
        <w:t>5.2、泵站的安全性，一体化泵站的整套产品，需通过CE或CCC安全认证。</w:t>
      </w:r>
    </w:p>
    <w:p>
      <w:pPr>
        <w:pStyle w:val="3"/>
        <w:keepNext w:val="0"/>
        <w:keepLines w:val="0"/>
        <w:widowControl/>
        <w:suppressLineNumbers w:val="0"/>
      </w:pPr>
      <w:r>
        <w:rPr>
          <w:rStyle w:val="5"/>
          <w:rFonts w:hint="eastAsia" w:ascii="宋体" w:hAnsi="宋体" w:eastAsia="宋体" w:cs="宋体"/>
          <w:b/>
          <w:color w:val="393939"/>
          <w:sz w:val="24"/>
          <w:szCs w:val="24"/>
        </w:rPr>
        <w:t> </w:t>
      </w:r>
    </w:p>
    <w:p>
      <w:pPr>
        <w:pStyle w:val="3"/>
        <w:keepNext w:val="0"/>
        <w:keepLines w:val="0"/>
        <w:widowControl/>
        <w:suppressLineNumbers w:val="0"/>
      </w:pPr>
      <w:r>
        <w:rPr>
          <w:rStyle w:val="5"/>
          <w:rFonts w:hint="eastAsia" w:ascii="宋体" w:hAnsi="宋体" w:eastAsia="宋体" w:cs="宋体"/>
          <w:b/>
          <w:color w:val="393939"/>
          <w:sz w:val="24"/>
          <w:szCs w:val="24"/>
        </w:rPr>
        <w:t>泵 站  清 单</w:t>
      </w:r>
    </w:p>
    <w:tbl>
      <w:tblPr>
        <w:tblW w:w="9821"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70"/>
        <w:gridCol w:w="2439"/>
        <w:gridCol w:w="3705"/>
        <w:gridCol w:w="664"/>
        <w:gridCol w:w="712"/>
        <w:gridCol w:w="847"/>
        <w:gridCol w:w="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blCellSpacing w:w="15" w:type="dxa"/>
        </w:trPr>
        <w:tc>
          <w:tcPr>
            <w:tcW w:w="6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序号</w:t>
            </w:r>
          </w:p>
        </w:tc>
        <w:tc>
          <w:tcPr>
            <w:tcW w:w="240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名 称</w:t>
            </w:r>
          </w:p>
        </w:tc>
        <w:tc>
          <w:tcPr>
            <w:tcW w:w="36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描述</w:t>
            </w:r>
          </w:p>
        </w:tc>
        <w:tc>
          <w:tcPr>
            <w:tcW w:w="63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数量</w:t>
            </w:r>
          </w:p>
        </w:tc>
        <w:tc>
          <w:tcPr>
            <w:tcW w:w="68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单位</w:t>
            </w:r>
          </w:p>
        </w:tc>
        <w:tc>
          <w:tcPr>
            <w:tcW w:w="81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潜污泵</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Q=30m3/h，H=7m,P=2.2KW</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台</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耦合底座</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DN80，实现潜污泵自动耦合</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3</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导轨吊链</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4</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粉碎格栅导轨吊链</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5</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旋起式橡胶止回阀</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DN100,包橡胶止回阀</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6</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暗杆式闸阀</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DN101,软密封包橡胶闸阀</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0" w:hRule="atLeast"/>
          <w:tblCellSpacing w:w="15" w:type="dxa"/>
        </w:trPr>
        <w:tc>
          <w:tcPr>
            <w:tcW w:w="62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7</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压力管道系统</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DN100,SUS304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5" w:hRule="atLeast"/>
          <w:tblCellSpacing w:w="15" w:type="dxa"/>
        </w:trPr>
        <w:tc>
          <w:tcPr>
            <w:tcW w:w="6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出水总管组件</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DN100-150,SUS304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0"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8</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进水柔性接头</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DN300,KXT-10</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0"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9</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进水管</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DN300，GRP</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0"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10</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出水柔性接头</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DN150,KXT-10</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11</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不锈钢爬梯</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0"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12</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泵站上检修孔</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压花铝板</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13</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安全格栅</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高强度GRP栅板</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14</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一体化泵站井筒</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DN2000x3170x15mm,GRP</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70"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15</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一体化泵站顶盖</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DN2000,GRP</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0"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16</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防积瘀自清洁底座</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DN2001x15mm</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个</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17</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通风管</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DN100外置通风系统SUS304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00" w:hRule="atLeast"/>
          <w:tblCellSpacing w:w="15" w:type="dxa"/>
        </w:trPr>
        <w:tc>
          <w:tcPr>
            <w:tcW w:w="62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18</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粉碎性格栅</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刀片合金钢H级，2.2kw</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00" w:hRule="atLeast"/>
          <w:tblCellSpacing w:w="15" w:type="dxa"/>
        </w:trPr>
        <w:tc>
          <w:tcPr>
            <w:tcW w:w="6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格栅支架</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SUS304</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19</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液位计及保护套管</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SUS304,静压差液位计</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blCellSpacing w:w="15" w:type="dxa"/>
        </w:trPr>
        <w:tc>
          <w:tcPr>
            <w:tcW w:w="62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20</w:t>
            </w:r>
          </w:p>
        </w:tc>
        <w:tc>
          <w:tcPr>
            <w:tcW w:w="2409"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户外智能远程控制柜</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远程智能控制系统+格栅PLC</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blCellSpacing w:w="15" w:type="dxa"/>
        </w:trPr>
        <w:tc>
          <w:tcPr>
            <w:tcW w:w="6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409"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西门子PLC+触摸屏</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17"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blCellSpacing w:w="15" w:type="dxa"/>
        </w:trPr>
        <w:tc>
          <w:tcPr>
            <w:tcW w:w="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21</w:t>
            </w:r>
          </w:p>
        </w:tc>
        <w:tc>
          <w:tcPr>
            <w:tcW w:w="240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服务平台</w:t>
            </w:r>
          </w:p>
        </w:tc>
        <w:tc>
          <w:tcPr>
            <w:tcW w:w="3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高强度GRP栅板</w:t>
            </w:r>
          </w:p>
        </w:tc>
        <w:tc>
          <w:tcPr>
            <w:tcW w:w="63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1</w:t>
            </w:r>
          </w:p>
        </w:tc>
        <w:tc>
          <w:tcPr>
            <w:tcW w:w="68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color w:val="000000"/>
                <w:sz w:val="24"/>
                <w:szCs w:val="24"/>
                <w:bdr w:val="none" w:color="auto" w:sz="0" w:space="0"/>
              </w:rPr>
              <w:t>套</w:t>
            </w:r>
          </w:p>
        </w:tc>
        <w:tc>
          <w:tcPr>
            <w:tcW w:w="8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70" w:hRule="atLeast"/>
          <w:tblCellSpacing w:w="15" w:type="dxa"/>
        </w:trPr>
        <w:tc>
          <w:tcPr>
            <w:tcW w:w="9761" w:type="dxa"/>
            <w:gridSpan w:val="7"/>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jc w:val="left"/>
            </w:pPr>
          </w:p>
        </w:tc>
      </w:tr>
    </w:tbl>
    <w:p>
      <w:pPr>
        <w:pStyle w:val="3"/>
        <w:keepNext w:val="0"/>
        <w:keepLines w:val="0"/>
        <w:widowControl/>
        <w:suppressLineNumbers w:val="0"/>
        <w:spacing w:after="240" w:afterAutospacing="0"/>
        <w:jc w:val="both"/>
      </w:pPr>
      <w:r>
        <w:rPr>
          <w:rStyle w:val="5"/>
          <w:rFonts w:hint="eastAsia" w:ascii="宋体" w:hAnsi="宋体" w:eastAsia="宋体" w:cs="宋体"/>
          <w:b/>
          <w:color w:val="393939"/>
          <w:sz w:val="24"/>
          <w:szCs w:val="24"/>
          <w:shd w:val="clear" w:fill="FFFFFF"/>
        </w:rPr>
        <w:t> （四）、一体化污水处理设施</w:t>
      </w:r>
    </w:p>
    <w:p>
      <w:pPr>
        <w:pStyle w:val="3"/>
        <w:keepNext w:val="0"/>
        <w:keepLines w:val="0"/>
        <w:widowControl/>
        <w:suppressLineNumbers w:val="0"/>
        <w:ind w:left="0" w:firstLine="285"/>
      </w:pPr>
      <w:r>
        <w:rPr>
          <w:rStyle w:val="5"/>
          <w:rFonts w:hint="eastAsia" w:ascii="宋体" w:hAnsi="宋体" w:eastAsia="宋体" w:cs="宋体"/>
          <w:b/>
          <w:sz w:val="24"/>
          <w:szCs w:val="24"/>
        </w:rPr>
        <w:t>长乐区营前街道村庄污水入户官网一期工程-生活污水净化装置   </w:t>
      </w:r>
    </w:p>
    <w:p>
      <w:pPr>
        <w:pStyle w:val="3"/>
        <w:keepNext w:val="0"/>
        <w:keepLines w:val="0"/>
        <w:widowControl/>
        <w:suppressLineNumbers w:val="0"/>
      </w:pPr>
      <w:r>
        <w:rPr>
          <w:rStyle w:val="5"/>
          <w:rFonts w:hint="eastAsia" w:ascii="宋体" w:hAnsi="宋体" w:eastAsia="宋体" w:cs="宋体"/>
          <w:b/>
          <w:sz w:val="24"/>
          <w:szCs w:val="24"/>
        </w:rPr>
        <w:t>                 (处理水量600m3/d)</w:t>
      </w:r>
    </w:p>
    <w:tbl>
      <w:tblPr>
        <w:tblW w:w="975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27"/>
        <w:gridCol w:w="1869"/>
        <w:gridCol w:w="2928"/>
        <w:gridCol w:w="716"/>
        <w:gridCol w:w="1615"/>
        <w:gridCol w:w="14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tblCellSpacing w:w="15" w:type="dxa"/>
        </w:trPr>
        <w:tc>
          <w:tcPr>
            <w:tcW w:w="108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序</w:t>
            </w:r>
          </w:p>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号</w:t>
            </w:r>
          </w:p>
        </w:tc>
        <w:tc>
          <w:tcPr>
            <w:tcW w:w="183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名 称</w:t>
            </w:r>
          </w:p>
        </w:tc>
        <w:tc>
          <w:tcPr>
            <w:tcW w:w="2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规格</w:t>
            </w:r>
          </w:p>
        </w:tc>
        <w:tc>
          <w:tcPr>
            <w:tcW w:w="68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单</w:t>
            </w:r>
          </w:p>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位</w:t>
            </w:r>
          </w:p>
        </w:tc>
        <w:tc>
          <w:tcPr>
            <w:tcW w:w="15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数量</w:t>
            </w:r>
          </w:p>
        </w:tc>
        <w:tc>
          <w:tcPr>
            <w:tcW w:w="14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935"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玻璃钢一体化设备</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调节池 Φ3.0M-L8.0M</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沉淀池 Φ3.0M-L6.0M</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耗氧池 Φ3.0M-L14.2.0M</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厌氧池 Φ3.0M-L14.2.0M</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耗氧2池 Φ3.0M-L9.5M</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斜管沉淀池Φ3.0M-L1.5M</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 </w:t>
            </w:r>
          </w:p>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 </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各1套</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95"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ind w:left="0" w:firstLine="120"/>
            </w:pPr>
            <w:r>
              <w:rPr>
                <w:rFonts w:hint="eastAsia" w:ascii="宋体" w:hAnsi="宋体" w:eastAsia="宋体" w:cs="宋体"/>
                <w:color w:val="000000"/>
                <w:sz w:val="24"/>
                <w:szCs w:val="24"/>
              </w:rPr>
              <w:t>2   </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玻璃钢格栅井</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Φ1M-L1.4M</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一体化内部</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35"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3</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防腐格栅</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1m-0.5m</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一体化内部</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4</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污水提升泵</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QW25-12-8-0.75</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台</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2</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5</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液位控制器</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SL-M15-2</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2</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6</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潜水曝气机</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QSB1.5</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台</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2</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7</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污泥回流泵</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QWP25-8-12-0.75</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台</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8</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玻璃钢填料支架</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50-50-5</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9</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玻璃钢加药箱</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Φ1M-L1.2M</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10</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自动加药泵</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50L/H</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11</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耐腐加药管</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Φ18</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12</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智能自动配电柜</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left"/>
            </w:pPr>
            <w:r>
              <w:rPr>
                <w:rFonts w:hint="eastAsia" w:ascii="宋体" w:hAnsi="宋体" w:eastAsia="宋体" w:cs="宋体"/>
                <w:color w:val="000000"/>
                <w:sz w:val="24"/>
                <w:szCs w:val="24"/>
                <w:bdr w:val="none" w:color="auto" w:sz="0" w:space="0"/>
              </w:rPr>
              <w:t>原器件</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台</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 </w:t>
            </w:r>
          </w:p>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 </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13</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设备内部安装费</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套</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14</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其他</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项</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15</w:t>
            </w: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税费</w:t>
            </w:r>
          </w:p>
        </w:tc>
        <w:tc>
          <w:tcPr>
            <w:tcW w:w="2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项</w:t>
            </w:r>
          </w:p>
        </w:tc>
        <w:tc>
          <w:tcPr>
            <w:tcW w:w="1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autoSpaceDE w:val="0"/>
              <w:autoSpaceDN w:val="0"/>
              <w:jc w:val="center"/>
            </w:pPr>
            <w:r>
              <w:rPr>
                <w:rFonts w:hint="eastAsia" w:ascii="宋体" w:hAnsi="宋体" w:eastAsia="宋体" w:cs="宋体"/>
                <w:color w:val="000000"/>
                <w:sz w:val="24"/>
                <w:szCs w:val="24"/>
                <w:bdr w:val="none" w:color="auto" w:sz="0" w:space="0"/>
              </w:rPr>
              <w:t>1</w:t>
            </w:r>
          </w:p>
        </w:tc>
        <w:tc>
          <w:tcPr>
            <w:tcW w:w="14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blCellSpacing w:w="15" w:type="dxa"/>
        </w:trPr>
        <w:tc>
          <w:tcPr>
            <w:tcW w:w="108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3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709"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autoSpaceDE w:val="0"/>
        <w:autoSpaceDN/>
      </w:pPr>
      <w:r>
        <w:rPr>
          <w:rStyle w:val="5"/>
          <w:rFonts w:hint="eastAsia" w:ascii="宋体" w:hAnsi="宋体" w:eastAsia="宋体" w:cs="宋体"/>
          <w:b/>
          <w:color w:val="000000"/>
          <w:sz w:val="24"/>
          <w:szCs w:val="24"/>
        </w:rPr>
        <w:t>（五）、样品要求：</w:t>
      </w:r>
    </w:p>
    <w:p>
      <w:pPr>
        <w:pStyle w:val="3"/>
        <w:keepNext w:val="0"/>
        <w:keepLines w:val="0"/>
        <w:widowControl/>
        <w:suppressLineNumbers w:val="0"/>
        <w:autoSpaceDE w:val="0"/>
        <w:autoSpaceDN/>
        <w:spacing w:after="150" w:afterAutospacing="0"/>
      </w:pPr>
      <w:r>
        <w:rPr>
          <w:rFonts w:hint="eastAsia" w:ascii="宋体" w:hAnsi="宋体" w:eastAsia="宋体" w:cs="宋体"/>
          <w:color w:val="393939"/>
          <w:sz w:val="24"/>
          <w:szCs w:val="24"/>
        </w:rPr>
        <w:t>投标人应提供以下样品：</w:t>
      </w:r>
    </w:p>
    <w:p>
      <w:pPr>
        <w:pStyle w:val="3"/>
        <w:keepNext w:val="0"/>
        <w:keepLines w:val="0"/>
        <w:widowControl/>
        <w:suppressLineNumbers w:val="0"/>
        <w:autoSpaceDE w:val="0"/>
        <w:autoSpaceDN/>
        <w:spacing w:after="150" w:afterAutospacing="0"/>
      </w:pPr>
      <w:r>
        <w:rPr>
          <w:rFonts w:hint="eastAsia" w:ascii="宋体" w:hAnsi="宋体" w:eastAsia="宋体" w:cs="宋体"/>
          <w:color w:val="393939"/>
          <w:sz w:val="24"/>
          <w:szCs w:val="24"/>
        </w:rPr>
        <w:t>（1）.提供</w:t>
      </w:r>
      <w:r>
        <w:rPr>
          <w:rStyle w:val="5"/>
          <w:rFonts w:hint="eastAsia" w:ascii="宋体" w:hAnsi="宋体" w:eastAsia="宋体" w:cs="宋体"/>
          <w:b/>
          <w:sz w:val="24"/>
          <w:szCs w:val="24"/>
        </w:rPr>
        <w:t>HDPE</w:t>
      </w:r>
      <w:r>
        <w:rPr>
          <w:rFonts w:hint="eastAsia" w:ascii="宋体" w:hAnsi="宋体" w:eastAsia="宋体" w:cs="宋体"/>
          <w:color w:val="393939"/>
          <w:sz w:val="24"/>
          <w:szCs w:val="24"/>
        </w:rPr>
        <w:t>双壁波纹管300一段不少于90CM的管(颜色：外绿内白)。</w:t>
      </w:r>
    </w:p>
    <w:p>
      <w:pPr>
        <w:pStyle w:val="3"/>
        <w:keepNext w:val="0"/>
        <w:keepLines w:val="0"/>
        <w:widowControl/>
        <w:suppressLineNumbers w:val="0"/>
        <w:autoSpaceDE w:val="0"/>
        <w:autoSpaceDN/>
        <w:spacing w:after="150" w:afterAutospacing="0"/>
      </w:pPr>
      <w:r>
        <w:rPr>
          <w:rFonts w:hint="eastAsia" w:ascii="宋体" w:hAnsi="宋体" w:eastAsia="宋体" w:cs="宋体"/>
          <w:color w:val="393939"/>
          <w:sz w:val="24"/>
          <w:szCs w:val="24"/>
        </w:rPr>
        <w:t>（2）.提供</w:t>
      </w:r>
      <w:r>
        <w:rPr>
          <w:rStyle w:val="5"/>
          <w:rFonts w:hint="eastAsia" w:ascii="宋体" w:hAnsi="宋体" w:eastAsia="宋体" w:cs="宋体"/>
          <w:b/>
          <w:sz w:val="24"/>
          <w:szCs w:val="24"/>
        </w:rPr>
        <w:t>HDPE</w:t>
      </w:r>
      <w:r>
        <w:rPr>
          <w:rFonts w:hint="eastAsia" w:ascii="宋体" w:hAnsi="宋体" w:eastAsia="宋体" w:cs="宋体"/>
          <w:color w:val="393939"/>
          <w:sz w:val="24"/>
          <w:szCs w:val="24"/>
        </w:rPr>
        <w:t>双壁波纹管300的套筒及配套密封件。</w:t>
      </w:r>
    </w:p>
    <w:p>
      <w:pPr>
        <w:pStyle w:val="3"/>
        <w:keepNext w:val="0"/>
        <w:keepLines w:val="0"/>
        <w:widowControl/>
        <w:suppressLineNumbers w:val="0"/>
        <w:spacing w:line="480" w:lineRule="atLeast"/>
        <w:ind w:left="0" w:firstLine="480"/>
      </w:pPr>
      <w:r>
        <w:rPr>
          <w:rFonts w:hint="eastAsia" w:ascii="宋体" w:hAnsi="宋体" w:eastAsia="宋体" w:cs="宋体"/>
          <w:sz w:val="24"/>
          <w:szCs w:val="24"/>
        </w:rPr>
        <w:t>1、 投标人提供的样品须按顺序摆放整齐，所有样品均应粘贴标签，上面标明货物名 称、合同包号、品目号，标签应粘贴牢固，书写应正楷、清晰(不得出现投标人名 称、品 牌、型 号等可能泄露投标人信息的字样)，样品由采购代 理单位现场编号供评标委员会评审。</w:t>
      </w:r>
    </w:p>
    <w:p>
      <w:pPr>
        <w:pStyle w:val="3"/>
        <w:keepNext w:val="0"/>
        <w:keepLines w:val="0"/>
        <w:widowControl/>
        <w:suppressLineNumbers w:val="0"/>
        <w:spacing w:line="480" w:lineRule="atLeast"/>
        <w:ind w:left="0" w:firstLine="480"/>
      </w:pPr>
      <w:r>
        <w:rPr>
          <w:rFonts w:hint="eastAsia" w:ascii="宋体" w:hAnsi="宋体" w:eastAsia="宋体" w:cs="宋体"/>
          <w:sz w:val="24"/>
          <w:szCs w:val="24"/>
        </w:rPr>
        <w:t>2、 投标人的样品须在投标截止时间前一个工作日17:00之前送达福州信豪工程造价咨询有限公司指 定展厅（地址：福州市仓山区金山大道洪湾路口丽景天成2期34栋1103单元），投标人超过时间送达的样品将被拒绝受理。未提供样品或者不按参数要求提供样品的投标人，视为无效投标。</w:t>
      </w:r>
    </w:p>
    <w:p>
      <w:pPr>
        <w:pStyle w:val="3"/>
        <w:keepNext w:val="0"/>
        <w:keepLines w:val="0"/>
        <w:widowControl/>
        <w:suppressLineNumbers w:val="0"/>
        <w:spacing w:line="480" w:lineRule="atLeast"/>
        <w:ind w:left="0" w:firstLine="465"/>
      </w:pPr>
      <w:r>
        <w:rPr>
          <w:rFonts w:hint="eastAsia" w:ascii="宋体" w:hAnsi="宋体" w:eastAsia="宋体" w:cs="宋体"/>
          <w:sz w:val="24"/>
          <w:szCs w:val="24"/>
        </w:rPr>
        <w:t>3、采购人有权对中标人的样品封存保留作为测试验收依据,中标人若所提供实物与样品不符，则采购人有权退货，按合同规定进行赔偿或中标人重新提供与样品相符的货物直至采购人满意为止。（采购人可对验收货品进行破坏性取样）</w:t>
      </w:r>
    </w:p>
    <w:p>
      <w:pPr>
        <w:pStyle w:val="3"/>
        <w:keepNext w:val="0"/>
        <w:keepLines w:val="0"/>
        <w:widowControl/>
        <w:suppressLineNumbers w:val="0"/>
        <w:spacing w:line="480" w:lineRule="atLeast"/>
        <w:ind w:left="0" w:firstLine="465"/>
      </w:pPr>
      <w:r>
        <w:rPr>
          <w:rFonts w:hint="eastAsia" w:ascii="宋体" w:hAnsi="宋体" w:eastAsia="宋体" w:cs="宋体"/>
          <w:sz w:val="24"/>
          <w:szCs w:val="24"/>
        </w:rPr>
        <w:t>4、投标人提供的样品仅作为本次评标委员会评审依据，若本次招标需复审，评标委员会对样品不作再次评审，样品评审结果不作更改。</w:t>
      </w:r>
    </w:p>
    <w:p>
      <w:pPr>
        <w:pStyle w:val="3"/>
        <w:keepNext w:val="0"/>
        <w:keepLines w:val="0"/>
        <w:widowControl/>
        <w:suppressLineNumbers w:val="0"/>
        <w:spacing w:line="480" w:lineRule="atLeast"/>
        <w:ind w:left="0" w:firstLine="465"/>
      </w:pPr>
      <w:r>
        <w:rPr>
          <w:rFonts w:hint="eastAsia" w:ascii="宋体" w:hAnsi="宋体" w:eastAsia="宋体" w:cs="宋体"/>
          <w:sz w:val="24"/>
          <w:szCs w:val="24"/>
        </w:rPr>
        <w:t>5、 在评标过程中，评标委员会将对投标样品进行破坏性的剪切检验，由此可能造成的损坏由投标人自行承担。投标人提供的样品与采购人的参 考样品不符，按无效标处理。  </w:t>
      </w:r>
      <w:r>
        <w:rPr>
          <w:rFonts w:hint="eastAsia" w:ascii="宋体" w:hAnsi="宋体" w:eastAsia="宋体" w:cs="宋体"/>
          <w:sz w:val="24"/>
          <w:szCs w:val="24"/>
        </w:rPr>
        <w:br w:type="textWrapping"/>
      </w:r>
      <w:r>
        <w:rPr>
          <w:rFonts w:hint="eastAsia" w:ascii="宋体" w:hAnsi="宋体" w:eastAsia="宋体" w:cs="宋体"/>
          <w:sz w:val="24"/>
          <w:szCs w:val="24"/>
        </w:rPr>
        <w:t xml:space="preserve">  6、样品退还安排：中标人样品须交由采购人封存保留作为验收样本，未中标投标人提供的样品须向福州信豪工程造价咨询有限公司办理相关手续，于中标公示期过后退还样品。未中标人的样品在招标公司通知起两日内取回，否则招标公司不负保管责任。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5"/>
          <w:rFonts w:hint="eastAsia" w:ascii="宋体" w:hAnsi="宋体" w:eastAsia="宋体" w:cs="宋体"/>
          <w:spacing w:val="0"/>
          <w:sz w:val="24"/>
          <w:szCs w:val="24"/>
        </w:rPr>
        <w:t>（以“★”标示的内容为不允许负偏离的实质性要求）</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包：1</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 xml:space="preserve">1、交付地点：福建省福州市长乐市营前街道 </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2、交付时间：合同签订后 (30 ) 天内交货</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3、交付条件：验收合格后</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4、是否收取履约保证金： 是。履约保证金百分比：10%。说明：中标人在中标通知书发出后五日内，将履约保证金汇入采购人指定账户或提供银行保函并与采购人签订合同，履约保证金按中标金额的10%缴纳，待项目验收合格后无息退还。</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5、是否邀请投标人参与验收：否</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 xml:space="preserve">6、验收方式数据表格 </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按合同验收</w:t>
            </w:r>
          </w:p>
        </w:tc>
      </w:tr>
    </w:tbl>
    <w:p>
      <w:pPr>
        <w:keepNext w:val="0"/>
        <w:keepLines w:val="0"/>
        <w:widowControl/>
        <w:suppressLineNumbers w:val="0"/>
        <w:jc w:val="left"/>
      </w:pPr>
      <w:r>
        <w:rPr>
          <w:rStyle w:val="5"/>
          <w:rFonts w:ascii="宋体" w:hAnsi="宋体" w:eastAsia="宋体" w:cs="宋体"/>
          <w:kern w:val="0"/>
          <w:sz w:val="24"/>
          <w:szCs w:val="24"/>
          <w:lang w:val="en-US" w:eastAsia="zh-CN" w:bidi="ar"/>
        </w:rPr>
        <w:t xml:space="preserve">7、支付方式数据表格 </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1661"/>
        <w:gridCol w:w="4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合同签完付合同款的30%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全部设备货物到场后付合同款的50%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设备安装调试合格后付合同款的15%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自验收合格之日算起一年质保期满后付合同款的5%</w:t>
            </w:r>
          </w:p>
        </w:tc>
      </w:tr>
    </w:tbl>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8、设备交货要求：</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8.1 包装：设备交货时应按国家有关标准要求进行包装。</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8.1.1 包装必须与运输方式相适应，包装方式的确定及包装费用均由中标人负责；由于不适当的包装而造成货物在运输过程中有任何损坏由中标人负责。</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8.1.2 包装应足以承受整个过程中的运输、转运、装卸、储存等，充分考虑到运输途中的各种情况（如暴露于恶劣气候等）和福州地区的气候特点，以及露天存放的需要。</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8.1.3 专用工具及备品备件应分别包装，并在包装箱外加以注明其用处。</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8.1.4投标人必须能按照合同的规定，准时提供设备、配件及工具，并负责所供设备、配件及工具的包装和运输、安装调试及维护的内容。</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9、技术服务要求：</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9.1安装和调试：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9.1.1投标人提供的设备必须是制造厂家生产的崭新的、 未开箱的原包装仪器设备。设备必须达到以上招标文件要求的技术指标，符合采购人要求，保证设备正常运行。</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9.1.2中标人应负责按所签订合同的具体要求、具体数量、具体地点将货物运送到采购人指 定地点并负责安装调试，设备安装调试并经最终验收合格后，交付采购人使用，中标人在接到采购人安装通知后，立即派工程技术人员到采购人使用现场免费对设备全套系统进行安装调试和人员培训。安装调试之前，由采购人和中标人共同开箱，按合同数量及装箱单清点。中标人须在报价中详细列明所需各项费用。设备安装、调试所需工具、仪表及安装材料等均由中标人负责提供。</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9.1.3中标人负责组织专业技术人员进行设备安装调试，采购人应提供必须的基本条件和专人配合，保证各项安装工作顺利进行。</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9.1.4 安装调试到位后的设备由中标人及采购人共同进行质量验收签字。</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9.1.5 设备验收前，中标人须提供完整的技术资料（包括产品中文说明书、中文用户手册、出厂明细表或装箱单、制造厂质量合格证书及其他相关文件资料）。</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9.1.6 中标人向采购人提供安装和维护所需特殊专用的工具、备件及清单和中文说明书，其费用包括在报价价格内。</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9.1.7中标人在采购人安装现场进行最终验收所发生的一切费用由中标人承担。</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9.2验收标准和验收方法：</w:t>
      </w:r>
    </w:p>
    <w:p>
      <w:pPr>
        <w:pStyle w:val="3"/>
        <w:keepNext w:val="0"/>
        <w:keepLines w:val="0"/>
        <w:widowControl/>
        <w:suppressLineNumbers w:val="0"/>
        <w:spacing w:before="0" w:beforeAutospacing="0" w:after="0" w:afterAutospacing="0" w:line="420" w:lineRule="atLeast"/>
        <w:ind w:left="0" w:firstLine="120"/>
      </w:pPr>
      <w:r>
        <w:rPr>
          <w:rFonts w:hint="eastAsia" w:ascii="宋体" w:hAnsi="宋体" w:eastAsia="宋体" w:cs="宋体"/>
          <w:sz w:val="24"/>
          <w:szCs w:val="24"/>
        </w:rPr>
        <w:t>9.2.1货物应按生产厂家的产品出厂检验标准、招标文件以及国家和行业验收规范要求及合同中的相关条款进行数量及质量的验收（货物以符合国家级计量单位检定合格为准，计量检测费用由中标人承担）。</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9.2.2验收程序和方法：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①出厂检验：中标人在产品出厂前，应按产品技术标准规定的检验项目和检验方法进行全面检验，中标人应随同货物出具产地证书、出厂检验报告和产品质量合格证等。结果必须符合验收标准的要求。</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②中标人自检：货物在安装地安装完毕后，要求中标人对所有货物的性能进行自检，检验结果必须符合招标文件技术要求以及合同中相关条款，同时向采购人提供自检记录。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③验收与最终验收：中标人自检后，中标人与采购人按招标文件以及合同相关条款要求一同对货物进行验收，验收结果应符合采购人使用要求。若发现未符合招标文件及合同相关条款要求，需立即进行整改，并通过最终验收。</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9.3中标人在采购人安装现场进行最终验收所发生的一切费用均由中标人承担（并入投标报价内）。</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9.4专用工具（若有）：中标人应提供一套维修所需的专用工具及其清单（投标人必须逐项列明品 牌、规格、型号、数量）。</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9.5备品备件（若有）:中标人应提供设备在质量保证期过后一年内主要备品备件及其清单及单价（含价格清单）。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9.6列明投标货物的全套系统配置清单及单价。</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9.7、技术资料</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9.7.1中 标后应提供的技术资料：中标人应向采购人提供不少于以下列明的中文（或英文）技术资料，在设备交货时随机提供（其中产品技术说明书、操作手册至少应有中文版本）；并提供货物原装品 牌的证明文件或资料，其费用应包括在报价内，如有不符采购人有权拒收。</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(1) 出厂明细表（装箱单）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(2) 出厂检验报告和合格证书</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(3) 产品技术使用说明书</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(4) 设备安装、调试维修线路原理图</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(5) 零部件目录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(6) 备品备件、损件清单</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(7) 安装、维修及操作手册</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(8) 相关文件、支持程序软盘或光盘</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(9) 合同中要求的其它文件资料</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(10) 提供原 产地制造商的产品证明、进口报关与商检的相关文件</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(11) 合同中要求的其它文件资料</w:t>
      </w:r>
    </w:p>
    <w:p>
      <w:pPr>
        <w:pStyle w:val="3"/>
        <w:keepNext w:val="0"/>
        <w:keepLines w:val="0"/>
        <w:widowControl/>
        <w:suppressLineNumbers w:val="0"/>
        <w:spacing w:before="0" w:beforeAutospacing="0" w:after="0" w:afterAutospacing="0" w:line="420" w:lineRule="atLeast"/>
        <w:ind w:left="0" w:firstLine="90"/>
      </w:pPr>
      <w:r>
        <w:rPr>
          <w:rFonts w:hint="eastAsia" w:ascii="宋体" w:hAnsi="宋体" w:eastAsia="宋体" w:cs="宋体"/>
          <w:sz w:val="24"/>
          <w:szCs w:val="24"/>
        </w:rPr>
        <w:t>10、售 后服务要求：</w:t>
      </w:r>
    </w:p>
    <w:p>
      <w:pPr>
        <w:pStyle w:val="3"/>
        <w:keepNext w:val="0"/>
        <w:keepLines w:val="0"/>
        <w:widowControl/>
        <w:suppressLineNumbers w:val="0"/>
        <w:spacing w:before="0" w:beforeAutospacing="0" w:after="0" w:afterAutospacing="0" w:line="420" w:lineRule="atLeast"/>
        <w:ind w:left="0" w:firstLine="375"/>
      </w:pPr>
      <w:r>
        <w:rPr>
          <w:rFonts w:hint="eastAsia" w:ascii="宋体" w:hAnsi="宋体" w:eastAsia="宋体" w:cs="宋体"/>
          <w:sz w:val="24"/>
          <w:szCs w:val="24"/>
        </w:rPr>
        <w:t>10.1质保期：质保期不少于1年，自合同签订之日起算；质保期内，须按合同条款提供免费服务，非因操作不当造成要更换的零配件及货物由中标人负责保修、包换。保修期内，所有维修服务均为上门服务，由此产生的费用均不再收取（保修期内，由中标人免费提供备品备件及服务）。免费保修期满前1个月内中标人负责对所有货物进行一次免费全面检查，如发现潜在问题，应负责排除，保证货物正常运行。</w:t>
      </w:r>
    </w:p>
    <w:p>
      <w:pPr>
        <w:pStyle w:val="3"/>
        <w:keepNext w:val="0"/>
        <w:keepLines w:val="0"/>
        <w:widowControl/>
        <w:suppressLineNumbers w:val="0"/>
        <w:spacing w:before="0" w:beforeAutospacing="0" w:after="0" w:afterAutospacing="0" w:line="420" w:lineRule="atLeast"/>
        <w:ind w:left="0" w:firstLine="435"/>
      </w:pPr>
      <w:r>
        <w:rPr>
          <w:rFonts w:hint="eastAsia" w:ascii="宋体" w:hAnsi="宋体" w:eastAsia="宋体" w:cs="宋体"/>
          <w:sz w:val="24"/>
          <w:szCs w:val="24"/>
        </w:rPr>
        <w:t>10.2维修服务的响应时间：在保修期内设备若发生非人为故障，中标人应免费上门检修维护，免费更换零部件。中标人在接到采购人故障通知后应在8小时内作出电话响应，在1个工作日内给予解决方案并委派专业技术人员到达现场(逾期采购人有权另请他人维修，费用由中标人承担)，免费提供咨询、维修和更换零部件等服务，重大问题或其他较难解决的问题应在2个工作日内给予方案并解决，若在2个工作日内无法及时排除故障，投标人应提供与该设备型号、规格及技术指标相一致的备品或更新的兼容产品以保证正常运行，如因中标人原因不能及时修复，保修期将相应顺延。</w:t>
      </w:r>
    </w:p>
    <w:p>
      <w:pPr>
        <w:pStyle w:val="3"/>
        <w:keepNext w:val="0"/>
        <w:keepLines w:val="0"/>
        <w:widowControl/>
        <w:suppressLineNumbers w:val="0"/>
        <w:spacing w:before="0" w:beforeAutospacing="0" w:after="0" w:afterAutospacing="0" w:line="420" w:lineRule="atLeast"/>
        <w:ind w:left="0" w:firstLine="435"/>
      </w:pPr>
      <w:r>
        <w:rPr>
          <w:rFonts w:hint="eastAsia" w:ascii="宋体" w:hAnsi="宋体" w:eastAsia="宋体" w:cs="宋体"/>
          <w:sz w:val="24"/>
          <w:szCs w:val="24"/>
        </w:rPr>
        <w:t>10.3质保期结束后，中标人还应在3小时内响应用户的技术服务及维修要求，服务费用将由用户根据市场情况做出决定。</w:t>
      </w:r>
    </w:p>
    <w:p>
      <w:pPr>
        <w:pStyle w:val="3"/>
        <w:keepNext w:val="0"/>
        <w:keepLines w:val="0"/>
        <w:widowControl/>
        <w:suppressLineNumbers w:val="0"/>
        <w:spacing w:before="0" w:beforeAutospacing="0" w:after="0" w:afterAutospacing="0" w:line="420" w:lineRule="atLeast"/>
        <w:ind w:left="0" w:firstLine="435"/>
      </w:pPr>
      <w:r>
        <w:rPr>
          <w:rFonts w:hint="eastAsia" w:ascii="宋体" w:hAnsi="宋体" w:eastAsia="宋体" w:cs="宋体"/>
          <w:sz w:val="24"/>
          <w:szCs w:val="24"/>
        </w:rPr>
        <w:t>10.4 投标人可视自身能力在投标文件中提供更优，更合理的维修服务承诺。</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11、其它要求：</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11.1本项目不允许中标人以任何名义和理由进行转包，如有发现，采购人有权单方中止合同，且中标人必须赔偿由此给采购人带来的一切损失。</w:t>
      </w:r>
    </w:p>
    <w:p>
      <w:pPr>
        <w:pStyle w:val="3"/>
        <w:keepNext w:val="0"/>
        <w:keepLines w:val="0"/>
        <w:widowControl/>
        <w:suppressLineNumbers w:val="0"/>
        <w:spacing w:before="0" w:beforeAutospacing="0" w:after="0" w:afterAutospacing="0" w:line="420" w:lineRule="atLeast"/>
        <w:ind w:left="0" w:firstLine="165"/>
      </w:pPr>
      <w:r>
        <w:rPr>
          <w:rFonts w:hint="eastAsia" w:ascii="宋体" w:hAnsi="宋体" w:eastAsia="宋体" w:cs="宋体"/>
          <w:sz w:val="24"/>
          <w:szCs w:val="24"/>
        </w:rPr>
        <w:t>11.2中标人应根据招标文件的技术要求条款,在投标文件中详细说明所提供的货物的技术规格、型号、参数、部件配置和功能说明、关键部件产地清单。</w:t>
      </w:r>
    </w:p>
    <w:p>
      <w:pPr>
        <w:pStyle w:val="3"/>
        <w:keepNext w:val="0"/>
        <w:keepLines w:val="0"/>
        <w:widowControl/>
        <w:suppressLineNumbers w:val="0"/>
        <w:spacing w:line="420" w:lineRule="atLeast"/>
      </w:pPr>
      <w:r>
        <w:rPr>
          <w:rFonts w:hint="eastAsia" w:ascii="宋体" w:hAnsi="宋体" w:eastAsia="宋体" w:cs="宋体"/>
          <w:sz w:val="24"/>
          <w:szCs w:val="24"/>
        </w:rPr>
        <w:t>  11.3除非招标文件或合同另有规定之外，本次招标按中标价格一次性包干，中标人所报的价格在中 标后的合同实施期间内应保持不变，即不因市场价格或政策性价格的调整而增减。</w:t>
      </w:r>
    </w:p>
    <w:p>
      <w:pPr>
        <w:pStyle w:val="3"/>
        <w:keepNext w:val="0"/>
        <w:keepLines w:val="0"/>
        <w:widowControl/>
        <w:suppressLineNumbers w:val="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3"/>
        <w:keepNext w:val="0"/>
        <w:keepLines w:val="0"/>
        <w:widowControl/>
        <w:suppressLineNumbers w:val="0"/>
        <w:spacing w:before="75" w:beforeAutospacing="0" w:after="75" w:afterAutospacing="0"/>
        <w:ind w:left="0" w:right="0" w:firstLine="0"/>
      </w:pPr>
      <w:r>
        <w:rPr>
          <w:spacing w:val="0"/>
          <w:sz w:val="24"/>
          <w:szCs w:val="24"/>
        </w:rPr>
        <w:t>2、其他：</w:t>
      </w:r>
    </w:p>
    <w:p>
      <w:pPr>
        <w:pStyle w:val="3"/>
        <w:keepNext w:val="0"/>
        <w:keepLines w:val="0"/>
        <w:widowControl/>
        <w:suppressLineNumbers w:val="0"/>
      </w:pPr>
      <w:r>
        <w:rPr>
          <w:rFonts w:hint="eastAsia" w:ascii="宋体" w:hAnsi="宋体" w:eastAsia="宋体" w:cs="宋体"/>
          <w:sz w:val="24"/>
          <w:szCs w:val="24"/>
        </w:rPr>
        <w:t>附表1：</w:t>
      </w:r>
      <w:r>
        <w:rPr>
          <w:rFonts w:hint="eastAsia" w:ascii="宋体" w:hAnsi="宋体" w:eastAsia="宋体" w:cs="宋体"/>
          <w:sz w:val="24"/>
          <w:szCs w:val="24"/>
        </w:rPr>
        <w:br w:type="textWrapping"/>
      </w:r>
      <w:r>
        <w:rPr>
          <w:rFonts w:hint="eastAsia" w:ascii="宋体" w:hAnsi="宋体" w:eastAsia="宋体" w:cs="宋体"/>
          <w:sz w:val="24"/>
          <w:szCs w:val="24"/>
        </w:rPr>
        <w:t>          现场考察确认书</w:t>
      </w:r>
    </w:p>
    <w:p>
      <w:pPr>
        <w:pStyle w:val="3"/>
        <w:keepNext w:val="0"/>
        <w:keepLines w:val="0"/>
        <w:widowControl/>
        <w:suppressLineNumbers w:val="0"/>
      </w:pPr>
      <w:r>
        <w:rPr>
          <w:rFonts w:hint="default" w:ascii="Calibri" w:hAnsi="Calibri" w:cs="Calibri"/>
          <w:sz w:val="24"/>
          <w:szCs w:val="24"/>
        </w:rPr>
        <w:t> </w:t>
      </w:r>
    </w:p>
    <w:tbl>
      <w:tblPr>
        <w:tblW w:w="8352"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61"/>
        <w:gridCol w:w="2390"/>
        <w:gridCol w:w="1254"/>
        <w:gridCol w:w="3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0" w:hRule="atLeast"/>
          <w:tblCellSpacing w:w="15" w:type="dxa"/>
        </w:trPr>
        <w:tc>
          <w:tcPr>
            <w:tcW w:w="141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4"/>
                <w:szCs w:val="24"/>
                <w:bdr w:val="none" w:color="auto" w:sz="0" w:space="0"/>
              </w:rPr>
              <w:t>项 目 名 称</w:t>
            </w:r>
          </w:p>
        </w:tc>
        <w:tc>
          <w:tcPr>
            <w:tcW w:w="6846"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0" w:hRule="atLeast"/>
          <w:tblCellSpacing w:w="15" w:type="dxa"/>
        </w:trPr>
        <w:tc>
          <w:tcPr>
            <w:tcW w:w="1416"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4"/>
                <w:szCs w:val="24"/>
                <w:bdr w:val="none" w:color="auto" w:sz="0" w:space="0"/>
              </w:rPr>
              <w:t>招标编号</w:t>
            </w:r>
          </w:p>
        </w:tc>
        <w:tc>
          <w:tcPr>
            <w:tcW w:w="2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4"/>
                <w:szCs w:val="24"/>
                <w:bdr w:val="none" w:color="auto" w:sz="0" w:space="0"/>
              </w:rPr>
              <w:t>批复号</w:t>
            </w:r>
          </w:p>
        </w:tc>
        <w:tc>
          <w:tcPr>
            <w:tcW w:w="320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0" w:hRule="atLeast"/>
          <w:tblCellSpacing w:w="15" w:type="dxa"/>
        </w:trPr>
        <w:tc>
          <w:tcPr>
            <w:tcW w:w="1416"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4"/>
                <w:szCs w:val="24"/>
                <w:bdr w:val="none" w:color="auto" w:sz="0" w:space="0"/>
              </w:rPr>
              <w:t>考察单位</w:t>
            </w:r>
          </w:p>
        </w:tc>
        <w:tc>
          <w:tcPr>
            <w:tcW w:w="6846"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0" w:hRule="atLeast"/>
          <w:tblCellSpacing w:w="15" w:type="dxa"/>
        </w:trPr>
        <w:tc>
          <w:tcPr>
            <w:tcW w:w="1416"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4"/>
                <w:szCs w:val="24"/>
                <w:bdr w:val="none" w:color="auto" w:sz="0" w:space="0"/>
              </w:rPr>
              <w:t>介绍信</w:t>
            </w:r>
          </w:p>
        </w:tc>
        <w:tc>
          <w:tcPr>
            <w:tcW w:w="6846"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4"/>
                <w:szCs w:val="24"/>
                <w:bdr w:val="none" w:color="auto" w:sz="0" w:space="0"/>
              </w:rPr>
              <w:t>是</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否</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50" w:hRule="atLeast"/>
          <w:tblCellSpacing w:w="15" w:type="dxa"/>
        </w:trPr>
        <w:tc>
          <w:tcPr>
            <w:tcW w:w="8292"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4"/>
                <w:szCs w:val="24"/>
                <w:bdr w:val="none" w:color="auto" w:sz="0" w:space="0"/>
              </w:rPr>
              <w:t>投标人考察确认</w:t>
            </w:r>
            <w:r>
              <w:rPr>
                <w:rFonts w:hint="default" w:ascii="Calibri" w:hAnsi="Calibri" w:cs="Calibri"/>
                <w:sz w:val="24"/>
                <w:szCs w:val="24"/>
                <w:bdr w:val="none" w:color="auto" w:sz="0" w:space="0"/>
              </w:rPr>
              <w:t>:</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xml:space="preserve">                           </w:t>
            </w:r>
          </w:p>
          <w:p>
            <w:pPr>
              <w:pStyle w:val="3"/>
              <w:keepNext w:val="0"/>
              <w:keepLines w:val="0"/>
              <w:widowControl/>
              <w:suppressLineNumbers w:val="0"/>
            </w:pPr>
            <w:r>
              <w:rPr>
                <w:rFonts w:hint="eastAsia" w:ascii="宋体" w:hAnsi="宋体" w:eastAsia="宋体" w:cs="宋体"/>
                <w:sz w:val="24"/>
                <w:szCs w:val="24"/>
                <w:bdr w:val="none" w:color="auto" w:sz="0" w:space="0"/>
              </w:rPr>
              <w:t> 考察人员签字</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日期</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175" w:hRule="atLeast"/>
          <w:tblCellSpacing w:w="15" w:type="dxa"/>
        </w:trPr>
        <w:tc>
          <w:tcPr>
            <w:tcW w:w="8292"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采购人确认</w:t>
            </w:r>
            <w:r>
              <w:rPr>
                <w:rFonts w:hint="default" w:ascii="Calibri" w:hAnsi="Calibri" w:cs="Calibri"/>
                <w:sz w:val="24"/>
                <w:szCs w:val="24"/>
                <w:bdr w:val="none" w:color="auto" w:sz="0" w:space="0"/>
              </w:rPr>
              <w:t>(</w:t>
            </w:r>
            <w:r>
              <w:rPr>
                <w:rFonts w:hint="eastAsia" w:ascii="宋体" w:hAnsi="宋体" w:eastAsia="宋体" w:cs="宋体"/>
                <w:sz w:val="24"/>
                <w:szCs w:val="24"/>
                <w:bdr w:val="none" w:color="auto" w:sz="0" w:space="0"/>
              </w:rPr>
              <w:t>单位或单位主管科室公章均可</w:t>
            </w:r>
            <w:r>
              <w:rPr>
                <w:rFonts w:hint="default" w:ascii="Calibri" w:hAnsi="Calibri" w:cs="Calibri"/>
                <w:sz w:val="24"/>
                <w:szCs w:val="24"/>
                <w:bdr w:val="none" w:color="auto" w:sz="0" w:space="0"/>
              </w:rPr>
              <w:t>):</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 </w:t>
            </w:r>
          </w:p>
          <w:p>
            <w:pPr>
              <w:pStyle w:val="3"/>
              <w:keepNext w:val="0"/>
              <w:keepLines w:val="0"/>
              <w:widowControl/>
              <w:suppressLineNumbers w:val="0"/>
            </w:pPr>
            <w:r>
              <w:rPr>
                <w:rFonts w:hint="eastAsia" w:ascii="宋体" w:hAnsi="宋体" w:eastAsia="宋体" w:cs="宋体"/>
                <w:sz w:val="24"/>
                <w:szCs w:val="24"/>
                <w:bdr w:val="none" w:color="auto" w:sz="0" w:space="0"/>
              </w:rPr>
              <w:t>经办人</w:t>
            </w:r>
            <w:r>
              <w:rPr>
                <w:rFonts w:hint="default" w:ascii="Calibri" w:hAnsi="Calibri" w:cs="Calibri"/>
                <w:sz w:val="24"/>
                <w:szCs w:val="24"/>
                <w:bdr w:val="none" w:color="auto" w:sz="0" w:space="0"/>
              </w:rPr>
              <w:t>(</w:t>
            </w:r>
            <w:r>
              <w:rPr>
                <w:rFonts w:hint="eastAsia" w:ascii="宋体" w:hAnsi="宋体" w:eastAsia="宋体" w:cs="宋体"/>
                <w:sz w:val="24"/>
                <w:szCs w:val="24"/>
                <w:bdr w:val="none" w:color="auto" w:sz="0" w:space="0"/>
              </w:rPr>
              <w:t>签字</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日期</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xml:space="preserve">  </w:t>
            </w:r>
            <w:r>
              <w:rPr>
                <w:rFonts w:hint="eastAsia" w:ascii="宋体" w:hAnsi="宋体" w:eastAsia="宋体" w:cs="宋体"/>
                <w:sz w:val="24"/>
                <w:szCs w:val="24"/>
                <w:bdr w:val="none" w:color="auto" w:sz="0" w:space="0"/>
              </w:rPr>
              <w:t>日</w:t>
            </w:r>
          </w:p>
          <w:p>
            <w:pPr>
              <w:pStyle w:val="3"/>
              <w:keepNext w:val="0"/>
              <w:keepLines w:val="0"/>
              <w:widowControl/>
              <w:suppressLineNumbers w:val="0"/>
            </w:pPr>
            <w:r>
              <w:rPr>
                <w:rFonts w:hint="eastAsia" w:ascii="宋体" w:hAnsi="宋体" w:eastAsia="宋体" w:cs="宋体"/>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35" w:hRule="atLeast"/>
          <w:tblCellSpacing w:w="15" w:type="dxa"/>
        </w:trPr>
        <w:tc>
          <w:tcPr>
            <w:tcW w:w="8292"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4"/>
                <w:szCs w:val="24"/>
                <w:bdr w:val="none" w:color="auto" w:sz="0" w:space="0"/>
              </w:rPr>
              <w:t>备注</w:t>
            </w:r>
            <w:r>
              <w:rPr>
                <w:rFonts w:hint="default" w:ascii="Calibri" w:hAnsi="Calibri" w:cs="Calibri"/>
                <w:sz w:val="24"/>
                <w:szCs w:val="24"/>
                <w:bdr w:val="none" w:color="auto" w:sz="0" w:space="0"/>
              </w:rPr>
              <w:t>:</w:t>
            </w:r>
          </w:p>
          <w:p>
            <w:pPr>
              <w:pStyle w:val="3"/>
              <w:keepNext w:val="0"/>
              <w:keepLines w:val="0"/>
              <w:widowControl/>
              <w:suppressLineNumbers w:val="0"/>
            </w:pPr>
            <w:r>
              <w:rPr>
                <w:rFonts w:hint="eastAsia" w:ascii="宋体" w:hAnsi="宋体" w:eastAsia="宋体" w:cs="宋体"/>
                <w:sz w:val="24"/>
                <w:szCs w:val="24"/>
                <w:bdr w:val="none" w:color="auto" w:sz="0" w:space="0"/>
              </w:rPr>
              <w:t>该考察确认书作为现场情况确认凭证一式俩份，采购人、投标人双方各执一份。与介绍信配合使用。</w:t>
            </w:r>
          </w:p>
        </w:tc>
      </w:tr>
    </w:tbl>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第六章   政府采购合同（参考文本）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编制说明</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1、签订合同应遵守政府采购法、合同法。</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3、国家有关部门对若干合同有规范文本的，可使用相应合同文本。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240"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第七章   投标文件格式</w:t>
      </w:r>
    </w:p>
    <w:p>
      <w:pPr>
        <w:pStyle w:val="3"/>
        <w:keepNext w:val="0"/>
        <w:keepLines w:val="0"/>
        <w:widowControl/>
        <w:suppressLineNumbers w:val="0"/>
        <w:jc w:val="center"/>
      </w:pPr>
      <w:r>
        <w:rPr>
          <w:rStyle w:val="5"/>
          <w:rFonts w:hint="eastAsia" w:ascii="宋体" w:hAnsi="宋体" w:eastAsia="宋体" w:cs="宋体"/>
          <w:sz w:val="24"/>
          <w:szCs w:val="24"/>
        </w:rPr>
        <w:t>编制说明</w:t>
      </w:r>
    </w:p>
    <w:p>
      <w:pPr>
        <w:pStyle w:val="3"/>
        <w:keepNext w:val="0"/>
        <w:keepLines w:val="0"/>
        <w:widowControl/>
        <w:suppressLineNumbers w:val="0"/>
      </w:pPr>
      <w:r>
        <w:rPr>
          <w:rFonts w:hint="eastAsia" w:ascii="宋体" w:hAnsi="宋体" w:eastAsia="宋体" w:cs="宋体"/>
          <w:sz w:val="24"/>
          <w:szCs w:val="24"/>
        </w:rPr>
        <w:t> </w:t>
      </w:r>
    </w:p>
    <w:p>
      <w:pPr>
        <w:pStyle w:val="3"/>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3"/>
        <w:keepNext w:val="0"/>
        <w:keepLines w:val="0"/>
        <w:widowControl/>
        <w:suppressLineNumbers w:val="0"/>
        <w:ind w:left="0" w:firstLine="480"/>
      </w:pPr>
      <w:r>
        <w:rPr>
          <w:rFonts w:hint="eastAsia" w:ascii="宋体" w:hAnsi="宋体" w:eastAsia="宋体" w:cs="宋体"/>
          <w:sz w:val="24"/>
          <w:szCs w:val="24"/>
        </w:rPr>
        <w:t>1.1涉及投标人的</w:t>
      </w:r>
      <w:r>
        <w:rPr>
          <w:rStyle w:val="5"/>
          <w:rFonts w:hint="eastAsia" w:ascii="宋体" w:hAnsi="宋体" w:eastAsia="宋体" w:cs="宋体"/>
          <w:sz w:val="24"/>
          <w:szCs w:val="24"/>
        </w:rPr>
        <w:t>“全称”</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w:t>
      </w:r>
      <w:r>
        <w:rPr>
          <w:rStyle w:val="5"/>
          <w:rFonts w:hint="eastAsia" w:ascii="宋体" w:hAnsi="宋体" w:eastAsia="宋体" w:cs="宋体"/>
          <w:sz w:val="24"/>
          <w:szCs w:val="24"/>
        </w:rPr>
        <w:t>投标人的全称</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5"/>
          <w:rFonts w:hint="eastAsia" w:ascii="宋体" w:hAnsi="宋体" w:eastAsia="宋体" w:cs="宋体"/>
          <w:sz w:val="24"/>
          <w:szCs w:val="24"/>
        </w:rPr>
        <w:t>牵头方的全称</w:t>
      </w:r>
      <w:r>
        <w:rPr>
          <w:rFonts w:hint="eastAsia" w:ascii="宋体" w:hAnsi="宋体" w:eastAsia="宋体" w:cs="宋体"/>
          <w:sz w:val="24"/>
          <w:szCs w:val="24"/>
        </w:rPr>
        <w:t>并加注</w:t>
      </w:r>
      <w:r>
        <w:rPr>
          <w:rStyle w:val="5"/>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5"/>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1.2涉及投标人</w:t>
      </w:r>
      <w:r>
        <w:rPr>
          <w:rStyle w:val="5"/>
          <w:rFonts w:hint="eastAsia" w:ascii="宋体" w:hAnsi="宋体" w:eastAsia="宋体" w:cs="宋体"/>
          <w:sz w:val="24"/>
          <w:szCs w:val="24"/>
        </w:rPr>
        <w:t>“加盖单位公章”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w:t>
      </w:r>
      <w:r>
        <w:rPr>
          <w:rStyle w:val="5"/>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5"/>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1.3涉及</w:t>
      </w:r>
      <w:r>
        <w:rPr>
          <w:rStyle w:val="5"/>
          <w:rFonts w:hint="eastAsia" w:ascii="宋体" w:hAnsi="宋体" w:eastAsia="宋体" w:cs="宋体"/>
          <w:sz w:val="24"/>
          <w:szCs w:val="24"/>
        </w:rPr>
        <w:t>“投标人代表签字”</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（1）不接受联合体投标的，指由</w:t>
      </w:r>
      <w:r>
        <w:rPr>
          <w:rStyle w:val="5"/>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5"/>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ind w:left="0" w:firstLine="480"/>
      </w:pPr>
      <w:r>
        <w:rPr>
          <w:rFonts w:hint="eastAsia" w:ascii="宋体" w:hAnsi="宋体" w:eastAsia="宋体" w:cs="宋体"/>
          <w:sz w:val="24"/>
          <w:szCs w:val="24"/>
        </w:rPr>
        <w:t>1.4</w:t>
      </w:r>
      <w:r>
        <w:rPr>
          <w:rStyle w:val="5"/>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3"/>
        <w:keepNext w:val="0"/>
        <w:keepLines w:val="0"/>
        <w:widowControl/>
        <w:suppressLineNumbers w:val="0"/>
        <w:ind w:left="0" w:firstLine="480"/>
      </w:pPr>
      <w:r>
        <w:rPr>
          <w:rFonts w:hint="eastAsia" w:ascii="宋体" w:hAnsi="宋体" w:eastAsia="宋体" w:cs="宋体"/>
          <w:sz w:val="24"/>
          <w:szCs w:val="24"/>
        </w:rPr>
        <w:t>1.5</w:t>
      </w:r>
      <w:r>
        <w:rPr>
          <w:rStyle w:val="5"/>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3"/>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5"/>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3"/>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3"/>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3"/>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3"/>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3"/>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（资格及资信证明部分）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一、投标函</w:t>
      </w:r>
    </w:p>
    <w:p>
      <w:pPr>
        <w:pStyle w:val="3"/>
        <w:keepNext w:val="0"/>
        <w:keepLines w:val="0"/>
        <w:widowControl/>
        <w:suppressLineNumbers w:val="0"/>
      </w:pPr>
      <w:r>
        <w:rPr>
          <w:rFonts w:hint="eastAsia" w:ascii="宋体" w:hAnsi="宋体" w:eastAsia="宋体" w:cs="宋体"/>
          <w:sz w:val="28"/>
          <w:szCs w:val="28"/>
        </w:rPr>
        <w:t>二、投标人的资格及资信证明文件</w:t>
      </w:r>
    </w:p>
    <w:p>
      <w:pPr>
        <w:pStyle w:val="3"/>
        <w:keepNext w:val="0"/>
        <w:keepLines w:val="0"/>
        <w:widowControl/>
        <w:suppressLineNumbers w:val="0"/>
      </w:pPr>
      <w:r>
        <w:rPr>
          <w:rFonts w:hint="eastAsia" w:ascii="宋体" w:hAnsi="宋体" w:eastAsia="宋体" w:cs="宋体"/>
          <w:sz w:val="28"/>
          <w:szCs w:val="28"/>
        </w:rPr>
        <w:t>三、投标保证金</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★注意</w:t>
      </w:r>
    </w:p>
    <w:p>
      <w:pPr>
        <w:pStyle w:val="3"/>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5"/>
          <w:rFonts w:hint="eastAsia" w:ascii="宋体" w:hAnsi="宋体" w:eastAsia="宋体" w:cs="宋体"/>
          <w:sz w:val="21"/>
          <w:szCs w:val="21"/>
        </w:rPr>
        <w:t>资格审查不合格</w:t>
      </w:r>
      <w:r>
        <w:rPr>
          <w:rFonts w:hint="eastAsia" w:ascii="宋体" w:hAnsi="宋体" w:eastAsia="宋体" w:cs="宋体"/>
          <w:sz w:val="21"/>
          <w:szCs w:val="21"/>
        </w:rPr>
        <w:t>。</w:t>
      </w:r>
    </w:p>
    <w:p>
      <w:pPr>
        <w:pStyle w:val="3"/>
        <w:keepNext w:val="0"/>
        <w:keepLines w:val="0"/>
        <w:widowControl/>
        <w:suppressLineNumbers w:val="0"/>
      </w:pP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一、投标函</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3"/>
        <w:keepNext w:val="0"/>
        <w:keepLines w:val="0"/>
        <w:widowControl/>
        <w:suppressLineNumbers w:val="0"/>
        <w:ind w:left="0" w:firstLine="420"/>
      </w:pPr>
      <w:r>
        <w:rPr>
          <w:rFonts w:hint="eastAsia" w:ascii="宋体" w:hAnsi="宋体" w:eastAsia="宋体" w:cs="宋体"/>
          <w:sz w:val="21"/>
          <w:szCs w:val="21"/>
        </w:rPr>
        <w:t>（1）资格及资信证明部分</w:t>
      </w:r>
    </w:p>
    <w:p>
      <w:pPr>
        <w:pStyle w:val="3"/>
        <w:keepNext w:val="0"/>
        <w:keepLines w:val="0"/>
        <w:widowControl/>
        <w:suppressLineNumbers w:val="0"/>
        <w:ind w:left="0" w:firstLine="420"/>
      </w:pPr>
      <w:r>
        <w:rPr>
          <w:rFonts w:hint="eastAsia" w:ascii="宋体" w:hAnsi="宋体" w:eastAsia="宋体" w:cs="宋体"/>
          <w:sz w:val="21"/>
          <w:szCs w:val="21"/>
        </w:rPr>
        <w:t>①投标函</w:t>
      </w:r>
    </w:p>
    <w:p>
      <w:pPr>
        <w:pStyle w:val="3"/>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3"/>
        <w:keepNext w:val="0"/>
        <w:keepLines w:val="0"/>
        <w:widowControl/>
        <w:suppressLineNumbers w:val="0"/>
        <w:ind w:left="0" w:firstLine="420"/>
      </w:pPr>
      <w:r>
        <w:rPr>
          <w:rFonts w:hint="eastAsia" w:ascii="宋体" w:hAnsi="宋体" w:eastAsia="宋体" w:cs="宋体"/>
          <w:sz w:val="21"/>
          <w:szCs w:val="21"/>
        </w:rPr>
        <w:t>③投标保证金</w:t>
      </w:r>
    </w:p>
    <w:p>
      <w:pPr>
        <w:pStyle w:val="3"/>
        <w:keepNext w:val="0"/>
        <w:keepLines w:val="0"/>
        <w:widowControl/>
        <w:suppressLineNumbers w:val="0"/>
        <w:ind w:left="0" w:firstLine="420"/>
      </w:pPr>
      <w:r>
        <w:rPr>
          <w:rFonts w:hint="eastAsia" w:ascii="宋体" w:hAnsi="宋体" w:eastAsia="宋体" w:cs="宋体"/>
          <w:sz w:val="21"/>
          <w:szCs w:val="21"/>
        </w:rPr>
        <w:t>（2）报价部分</w:t>
      </w:r>
    </w:p>
    <w:p>
      <w:pPr>
        <w:pStyle w:val="3"/>
        <w:keepNext w:val="0"/>
        <w:keepLines w:val="0"/>
        <w:widowControl/>
        <w:suppressLineNumbers w:val="0"/>
        <w:ind w:left="0" w:firstLine="420"/>
      </w:pPr>
      <w:r>
        <w:rPr>
          <w:rFonts w:hint="eastAsia" w:ascii="宋体" w:hAnsi="宋体" w:eastAsia="宋体" w:cs="宋体"/>
          <w:sz w:val="21"/>
          <w:szCs w:val="21"/>
        </w:rPr>
        <w:t>①开标一览表</w:t>
      </w:r>
    </w:p>
    <w:p>
      <w:pPr>
        <w:pStyle w:val="3"/>
        <w:keepNext w:val="0"/>
        <w:keepLines w:val="0"/>
        <w:widowControl/>
        <w:suppressLineNumbers w:val="0"/>
        <w:ind w:left="0" w:firstLine="420"/>
      </w:pPr>
      <w:r>
        <w:rPr>
          <w:rFonts w:hint="eastAsia" w:ascii="宋体" w:hAnsi="宋体" w:eastAsia="宋体" w:cs="宋体"/>
          <w:sz w:val="21"/>
          <w:szCs w:val="21"/>
        </w:rPr>
        <w:t>②投标分项报价表</w:t>
      </w:r>
    </w:p>
    <w:p>
      <w:pPr>
        <w:pStyle w:val="3"/>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3"/>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3"/>
        <w:keepNext w:val="0"/>
        <w:keepLines w:val="0"/>
        <w:widowControl/>
        <w:suppressLineNumbers w:val="0"/>
        <w:ind w:left="0" w:firstLine="420"/>
      </w:pPr>
      <w:r>
        <w:rPr>
          <w:rFonts w:hint="eastAsia" w:ascii="宋体" w:hAnsi="宋体" w:eastAsia="宋体" w:cs="宋体"/>
          <w:sz w:val="21"/>
          <w:szCs w:val="21"/>
        </w:rPr>
        <w:t>（3）技术商务部分</w:t>
      </w:r>
    </w:p>
    <w:p>
      <w:pPr>
        <w:pStyle w:val="3"/>
        <w:keepNext w:val="0"/>
        <w:keepLines w:val="0"/>
        <w:widowControl/>
        <w:suppressLineNumbers w:val="0"/>
        <w:ind w:left="0" w:firstLine="420"/>
      </w:pPr>
      <w:r>
        <w:rPr>
          <w:rFonts w:hint="eastAsia" w:ascii="宋体" w:hAnsi="宋体" w:eastAsia="宋体" w:cs="宋体"/>
          <w:sz w:val="21"/>
          <w:szCs w:val="21"/>
        </w:rPr>
        <w:t>①标的说明一览表</w:t>
      </w:r>
    </w:p>
    <w:p>
      <w:pPr>
        <w:pStyle w:val="3"/>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3"/>
        <w:keepNext w:val="0"/>
        <w:keepLines w:val="0"/>
        <w:widowControl/>
        <w:suppressLineNumbers w:val="0"/>
        <w:ind w:left="0" w:firstLine="420"/>
      </w:pPr>
      <w:r>
        <w:rPr>
          <w:rFonts w:hint="eastAsia" w:ascii="宋体" w:hAnsi="宋体" w:eastAsia="宋体" w:cs="宋体"/>
          <w:sz w:val="21"/>
          <w:szCs w:val="21"/>
        </w:rPr>
        <w:t>③商务条件响应表</w:t>
      </w:r>
    </w:p>
    <w:p>
      <w:pPr>
        <w:pStyle w:val="3"/>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3"/>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3"/>
        <w:keepNext w:val="0"/>
        <w:keepLines w:val="0"/>
        <w:widowControl/>
        <w:suppressLineNumbers w:val="0"/>
        <w:ind w:left="0" w:firstLine="420"/>
      </w:pPr>
      <w:r>
        <w:rPr>
          <w:rFonts w:hint="eastAsia" w:ascii="宋体" w:hAnsi="宋体" w:eastAsia="宋体" w:cs="宋体"/>
          <w:sz w:val="21"/>
          <w:szCs w:val="21"/>
        </w:rPr>
        <w:t>1、</w:t>
      </w:r>
      <w:r>
        <w:rPr>
          <w:rStyle w:val="5"/>
          <w:rFonts w:hint="eastAsia" w:ascii="宋体" w:hAnsi="宋体" w:eastAsia="宋体" w:cs="宋体"/>
          <w:sz w:val="21"/>
          <w:szCs w:val="21"/>
        </w:rPr>
        <w:t>确认：</w:t>
      </w:r>
    </w:p>
    <w:p>
      <w:pPr>
        <w:pStyle w:val="3"/>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3"/>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3"/>
        <w:keepNext w:val="0"/>
        <w:keepLines w:val="0"/>
        <w:widowControl/>
        <w:suppressLineNumbers w:val="0"/>
        <w:ind w:left="0" w:firstLine="420"/>
      </w:pPr>
      <w:r>
        <w:rPr>
          <w:rFonts w:hint="eastAsia" w:ascii="宋体" w:hAnsi="宋体" w:eastAsia="宋体" w:cs="宋体"/>
          <w:sz w:val="21"/>
          <w:szCs w:val="21"/>
        </w:rPr>
        <w:t>2、</w:t>
      </w:r>
      <w:r>
        <w:rPr>
          <w:rStyle w:val="5"/>
          <w:rFonts w:hint="eastAsia" w:ascii="宋体" w:hAnsi="宋体" w:eastAsia="宋体" w:cs="宋体"/>
          <w:sz w:val="21"/>
          <w:szCs w:val="21"/>
        </w:rPr>
        <w:t>承诺及声明：</w:t>
      </w:r>
    </w:p>
    <w:p>
      <w:pPr>
        <w:pStyle w:val="3"/>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5"/>
          <w:rFonts w:hint="eastAsia" w:ascii="宋体" w:hAnsi="宋体" w:eastAsia="宋体" w:cs="宋体"/>
          <w:sz w:val="21"/>
          <w:szCs w:val="21"/>
        </w:rPr>
        <w:t>投标无效。</w:t>
      </w:r>
    </w:p>
    <w:p>
      <w:pPr>
        <w:pStyle w:val="3"/>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3"/>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3"/>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3"/>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3"/>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3"/>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二、投标人的资格及资信证明文件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二-1单位负责人授权书（若有）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3"/>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3"/>
        <w:keepNext w:val="0"/>
        <w:keepLines w:val="0"/>
        <w:widowControl/>
        <w:suppressLineNumbers w:val="0"/>
        <w:jc w:val="center"/>
      </w:pPr>
      <w:r>
        <w:rPr>
          <w:rFonts w:hint="eastAsia" w:ascii="宋体" w:hAnsi="宋体" w:eastAsia="宋体" w:cs="宋体"/>
          <w:sz w:val="21"/>
          <w:szCs w:val="21"/>
        </w:rPr>
        <w:t>（以下无正文）</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授权方</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接受授权方</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 </w:t>
            </w:r>
          </w:p>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要求：真实有效且内容完整、清晰、整洁。</w:t>
            </w:r>
          </w:p>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 </w:t>
            </w:r>
          </w:p>
        </w:tc>
      </w:tr>
    </w:tbl>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5"/>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3"/>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3"/>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 xml:space="preserve">5、纸质投标文件正本中的本授权书（若有）应为原件。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二-2营业执照等证明文件</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3"/>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二-3财务状况报告（财务报告、或资信证明、或投标担保函）</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 ）投标人提供财务报告的</w:t>
      </w:r>
    </w:p>
    <w:p>
      <w:pPr>
        <w:pStyle w:val="3"/>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）投标人提供资信证明的</w:t>
      </w:r>
    </w:p>
    <w:p>
      <w:pPr>
        <w:pStyle w:val="3"/>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3"/>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3"/>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3"/>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3"/>
        <w:keepNext w:val="0"/>
        <w:keepLines w:val="0"/>
        <w:widowControl/>
        <w:suppressLineNumbers w:val="0"/>
      </w:pPr>
      <w:r>
        <w:rPr>
          <w:rStyle w:val="5"/>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3"/>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-4依法缴纳税收证明材料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1、依法缴纳税收的投标人</w:t>
      </w:r>
    </w:p>
    <w:p>
      <w:pPr>
        <w:pStyle w:val="3"/>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2、依法免税的投标人</w:t>
      </w:r>
    </w:p>
    <w:p>
      <w:pPr>
        <w:pStyle w:val="3"/>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3"/>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3"/>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3"/>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5"/>
          <w:rFonts w:hint="eastAsia" w:ascii="宋体" w:hAnsi="宋体" w:eastAsia="宋体" w:cs="宋体"/>
          <w:sz w:val="21"/>
          <w:szCs w:val="21"/>
        </w:rPr>
        <w:t>未依法缴纳税收。</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二-5依法缴纳社会保障资金证明材料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3"/>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3"/>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3"/>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3"/>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3"/>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5"/>
          <w:rFonts w:hint="eastAsia" w:ascii="宋体" w:hAnsi="宋体" w:eastAsia="宋体" w:cs="宋体"/>
          <w:sz w:val="21"/>
          <w:szCs w:val="21"/>
        </w:rPr>
        <w:t>未依法缴纳社会保障资金。</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-6具备履行合同所必需设备和专业技术能力的声明函（若有）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特此声明。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3"/>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3"/>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4、请投标人根据实际情况如实声明，否则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-7参加采购活动前三年内在经营活动中没有重大违法记录书面声明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特此声明。</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3"/>
        <w:keepNext w:val="0"/>
        <w:keepLines w:val="0"/>
        <w:widowControl/>
        <w:suppressLineNumbers w:val="0"/>
      </w:pPr>
      <w:r>
        <w:rPr>
          <w:rFonts w:hint="eastAsia" w:ascii="宋体" w:hAnsi="宋体" w:eastAsia="宋体" w:cs="宋体"/>
          <w:sz w:val="21"/>
          <w:szCs w:val="21"/>
        </w:rPr>
        <w:t>2、纸质投标文件正本中的本声明应为原件。</w:t>
      </w:r>
    </w:p>
    <w:p>
      <w:pPr>
        <w:pStyle w:val="3"/>
        <w:keepNext w:val="0"/>
        <w:keepLines w:val="0"/>
        <w:widowControl/>
        <w:suppressLineNumbers w:val="0"/>
      </w:pPr>
      <w:r>
        <w:rPr>
          <w:rFonts w:hint="eastAsia" w:ascii="宋体" w:hAnsi="宋体" w:eastAsia="宋体" w:cs="宋体"/>
          <w:sz w:val="21"/>
          <w:szCs w:val="21"/>
        </w:rPr>
        <w:t>3、请投标人根据实际情况如实声明，否则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-8信用记录查询结果</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二-9检察机关行贿犯罪档案查询结果告知函</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5"/>
          <w:rFonts w:hint="eastAsia" w:ascii="宋体" w:hAnsi="宋体" w:eastAsia="宋体" w:cs="宋体"/>
          <w:sz w:val="21"/>
          <w:szCs w:val="21"/>
        </w:rPr>
        <w:t>均视同有效。</w:t>
      </w:r>
    </w:p>
    <w:p>
      <w:pPr>
        <w:pStyle w:val="3"/>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二-10联合体协议（若有）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3"/>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3"/>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2、成员方：</w:t>
      </w:r>
    </w:p>
    <w:p>
      <w:pPr>
        <w:pStyle w:val="3"/>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3"/>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二、联合体各方约定：</w:t>
      </w:r>
    </w:p>
    <w:p>
      <w:pPr>
        <w:pStyle w:val="3"/>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3"/>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3"/>
        <w:keepNext w:val="0"/>
        <w:keepLines w:val="0"/>
        <w:widowControl/>
        <w:suppressLineNumbers w:val="0"/>
        <w:ind w:left="0" w:firstLine="420"/>
      </w:pPr>
      <w:r>
        <w:rPr>
          <w:rFonts w:hint="eastAsia" w:ascii="宋体" w:hAnsi="宋体" w:eastAsia="宋体" w:cs="宋体"/>
          <w:sz w:val="21"/>
          <w:szCs w:val="21"/>
        </w:rPr>
        <w:t>3、联合体各方约定以</w:t>
      </w:r>
      <w:r>
        <w:rPr>
          <w:rFonts w:hint="eastAsia" w:ascii="宋体" w:hAnsi="宋体" w:eastAsia="宋体" w:cs="宋体"/>
          <w:sz w:val="21"/>
          <w:szCs w:val="21"/>
          <w:u w:val="single"/>
        </w:rPr>
        <w:t>（本项目采用综合评分法的，应填写“具体成员方的全称”；否则填写“无”）</w:t>
      </w:r>
      <w:r>
        <w:rPr>
          <w:rFonts w:hint="eastAsia" w:ascii="宋体" w:hAnsi="宋体" w:eastAsia="宋体" w:cs="宋体"/>
          <w:sz w:val="21"/>
          <w:szCs w:val="21"/>
        </w:rPr>
        <w:t>的条件参与商务部分的评标。</w:t>
      </w:r>
    </w:p>
    <w:p>
      <w:pPr>
        <w:pStyle w:val="3"/>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3"/>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3"/>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3"/>
        <w:keepNext w:val="0"/>
        <w:keepLines w:val="0"/>
        <w:widowControl/>
        <w:suppressLineNumbers w:val="0"/>
        <w:jc w:val="center"/>
      </w:pPr>
      <w:r>
        <w:rPr>
          <w:rFonts w:hint="eastAsia" w:ascii="宋体" w:hAnsi="宋体" w:eastAsia="宋体" w:cs="宋体"/>
          <w:sz w:val="21"/>
          <w:szCs w:val="21"/>
        </w:rPr>
        <w:t>（以下无正文）</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3"/>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3"/>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二-11中小企业声明函</w:t>
      </w:r>
    </w:p>
    <w:p>
      <w:pPr>
        <w:pStyle w:val="3"/>
        <w:keepNext w:val="0"/>
        <w:keepLines w:val="0"/>
        <w:widowControl/>
        <w:suppressLineNumbers w:val="0"/>
        <w:jc w:val="center"/>
      </w:pPr>
      <w:r>
        <w:rPr>
          <w:rStyle w:val="5"/>
          <w:rFonts w:hint="eastAsia" w:ascii="宋体" w:hAnsi="宋体" w:eastAsia="宋体" w:cs="宋体"/>
          <w:sz w:val="21"/>
          <w:szCs w:val="21"/>
        </w:rPr>
        <w:t>（专门面向中小企业或小型、微型企业适用，若有）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3"/>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3"/>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xml:space="preserve"> （填写“项目名称”） </w:t>
      </w:r>
      <w:r>
        <w:rPr>
          <w:rFonts w:hint="eastAsia" w:ascii="宋体" w:hAnsi="宋体" w:eastAsia="宋体" w:cs="宋体"/>
          <w:sz w:val="21"/>
          <w:szCs w:val="21"/>
        </w:rPr>
        <w:t>项目采购活动，其中：</w:t>
      </w:r>
    </w:p>
    <w:p>
      <w:pPr>
        <w:pStyle w:val="3"/>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3"/>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②工程：</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③服务：</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3"/>
        <w:keepNext w:val="0"/>
        <w:keepLines w:val="0"/>
        <w:widowControl/>
        <w:suppressLineNumbers w:val="0"/>
      </w:pPr>
      <w:r>
        <w:rPr>
          <w:rFonts w:hint="eastAsia" w:ascii="宋体" w:hAnsi="宋体" w:eastAsia="宋体" w:cs="宋体"/>
          <w:sz w:val="21"/>
          <w:szCs w:val="21"/>
        </w:rPr>
        <w:t>5、纸质投标文件正本中的本声明函（若有）应为原件。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jc w:val="center"/>
      </w:pPr>
      <w:r>
        <w:rPr>
          <w:rStyle w:val="5"/>
          <w:rFonts w:hint="eastAsia" w:ascii="宋体" w:hAnsi="宋体" w:eastAsia="宋体" w:cs="宋体"/>
          <w:sz w:val="21"/>
          <w:szCs w:val="21"/>
        </w:rPr>
        <w:t>残疾人福利性单位声明函</w:t>
      </w:r>
    </w:p>
    <w:p>
      <w:pPr>
        <w:pStyle w:val="3"/>
        <w:keepNext w:val="0"/>
        <w:keepLines w:val="0"/>
        <w:widowControl/>
        <w:suppressLineNumbers w:val="0"/>
        <w:jc w:val="center"/>
      </w:pPr>
      <w:r>
        <w:rPr>
          <w:rStyle w:val="5"/>
          <w:rFonts w:hint="eastAsia" w:ascii="宋体" w:hAnsi="宋体" w:eastAsia="宋体" w:cs="宋体"/>
          <w:sz w:val="21"/>
          <w:szCs w:val="21"/>
        </w:rPr>
        <w:t>（专门面向中小企业或小型、微型企业适用，若有）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3"/>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3、若《残疾人福利性单位声明函》内容不真实，</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二-12其他资格证明文件（若有）</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二</w:t>
      </w:r>
      <w:r>
        <w:rPr>
          <w:rStyle w:val="5"/>
          <w:rFonts w:hint="eastAsia" w:ascii="宋体" w:hAnsi="宋体" w:eastAsia="宋体" w:cs="宋体"/>
          <w:sz w:val="21"/>
          <w:szCs w:val="21"/>
        </w:rPr>
        <w:t>-12-①具备履行合同所必需设备和专业技术能力专项证明材料（若有）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3"/>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二-12-②招标文件规定的其他资格证明文件（若有）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5"/>
          <w:rFonts w:hint="eastAsia" w:ascii="宋体" w:hAnsi="宋体" w:eastAsia="宋体" w:cs="宋体"/>
          <w:sz w:val="21"/>
          <w:szCs w:val="21"/>
        </w:rPr>
        <w:t>、投标保证金</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1、在此项下提交的</w:t>
      </w:r>
      <w:r>
        <w:rPr>
          <w:rStyle w:val="5"/>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3"/>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（报价部分）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一、开标一览表</w:t>
      </w:r>
    </w:p>
    <w:p>
      <w:pPr>
        <w:pStyle w:val="3"/>
        <w:keepNext w:val="0"/>
        <w:keepLines w:val="0"/>
        <w:widowControl/>
        <w:suppressLineNumbers w:val="0"/>
      </w:pPr>
      <w:r>
        <w:rPr>
          <w:rFonts w:hint="eastAsia" w:ascii="宋体" w:hAnsi="宋体" w:eastAsia="宋体" w:cs="宋体"/>
          <w:sz w:val="28"/>
          <w:szCs w:val="28"/>
        </w:rPr>
        <w:t>二、投标分项报价表</w:t>
      </w:r>
    </w:p>
    <w:p>
      <w:pPr>
        <w:pStyle w:val="3"/>
        <w:keepNext w:val="0"/>
        <w:keepLines w:val="0"/>
        <w:widowControl/>
        <w:suppressLineNumbers w:val="0"/>
      </w:pPr>
      <w:r>
        <w:rPr>
          <w:rFonts w:hint="eastAsia" w:ascii="宋体" w:hAnsi="宋体" w:eastAsia="宋体" w:cs="宋体"/>
          <w:sz w:val="28"/>
          <w:szCs w:val="28"/>
        </w:rPr>
        <w:t>三、招标文件规定的价格扣除证明材料（若有）</w:t>
      </w:r>
    </w:p>
    <w:p>
      <w:pPr>
        <w:pStyle w:val="3"/>
        <w:keepNext w:val="0"/>
        <w:keepLines w:val="0"/>
        <w:widowControl/>
        <w:suppressLineNumbers w:val="0"/>
      </w:pPr>
      <w:r>
        <w:rPr>
          <w:rFonts w:hint="eastAsia" w:ascii="宋体" w:hAnsi="宋体" w:eastAsia="宋体" w:cs="宋体"/>
          <w:sz w:val="28"/>
          <w:szCs w:val="28"/>
        </w:rPr>
        <w:t>四、招标文件规定的加分证明材料（若有）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一、开标一览表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63"/>
        <w:gridCol w:w="5702"/>
        <w:gridCol w:w="722"/>
        <w:gridCol w:w="10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101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6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6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3"/>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98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800" w:hRule="atLeast"/>
          <w:tblCellSpacing w:w="15" w:type="dxa"/>
        </w:trPr>
        <w:tc>
          <w:tcPr>
            <w:tcW w:w="101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56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88"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3"/>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01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56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88"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3"/>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3"/>
        <w:keepNext w:val="0"/>
        <w:keepLines w:val="0"/>
        <w:widowControl/>
        <w:suppressLineNumbers w:val="0"/>
      </w:pPr>
      <w:r>
        <w:rPr>
          <w:rFonts w:hint="eastAsia" w:ascii="宋体" w:hAnsi="宋体" w:eastAsia="宋体" w:cs="宋体"/>
          <w:sz w:val="21"/>
          <w:szCs w:val="21"/>
        </w:rPr>
        <w:t>2、纸质投标文件正本中的本表应为原件。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二、投标分项报价表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67"/>
        <w:gridCol w:w="952"/>
        <w:gridCol w:w="1520"/>
        <w:gridCol w:w="1250"/>
        <w:gridCol w:w="852"/>
        <w:gridCol w:w="981"/>
        <w:gridCol w:w="583"/>
        <w:gridCol w:w="1081"/>
        <w:gridCol w:w="8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49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5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5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5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8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9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4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2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5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5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2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2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5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5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92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2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5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5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pPr>
      <w:r>
        <w:rPr>
          <w:rFonts w:hint="eastAsia" w:ascii="宋体" w:hAnsi="宋体" w:eastAsia="宋体" w:cs="宋体"/>
          <w:sz w:val="21"/>
          <w:szCs w:val="21"/>
        </w:rPr>
        <w:t>1.2“投标标的”为货物的：</w:t>
      </w:r>
      <w:r>
        <w:rPr>
          <w:rStyle w:val="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5"/>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3"/>
        <w:keepNext w:val="0"/>
        <w:keepLines w:val="0"/>
        <w:widowControl/>
        <w:suppressLineNumbers w:val="0"/>
      </w:pPr>
      <w:r>
        <w:rPr>
          <w:rFonts w:hint="eastAsia" w:ascii="宋体" w:hAnsi="宋体" w:eastAsia="宋体" w:cs="宋体"/>
          <w:sz w:val="21"/>
          <w:szCs w:val="21"/>
        </w:rPr>
        <w:t>1.3“投标标的”为服务的：</w:t>
      </w:r>
      <w:r>
        <w:rPr>
          <w:rStyle w:val="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5"/>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3"/>
        <w:keepNext w:val="0"/>
        <w:keepLines w:val="0"/>
        <w:widowControl/>
        <w:suppressLineNumbers w:val="0"/>
      </w:pPr>
      <w:r>
        <w:rPr>
          <w:rFonts w:hint="eastAsia" w:ascii="宋体" w:hAnsi="宋体" w:eastAsia="宋体" w:cs="宋体"/>
          <w:sz w:val="21"/>
          <w:szCs w:val="21"/>
        </w:rPr>
        <w:t>1.4同一合同包中，</w:t>
      </w:r>
      <w:r>
        <w:rPr>
          <w:rStyle w:val="5"/>
          <w:rFonts w:hint="eastAsia" w:ascii="宋体" w:hAnsi="宋体" w:eastAsia="宋体" w:cs="宋体"/>
          <w:sz w:val="21"/>
          <w:szCs w:val="21"/>
        </w:rPr>
        <w:t>“单价（现场）”</w:t>
      </w:r>
      <w:r>
        <w:rPr>
          <w:rFonts w:hint="eastAsia" w:ascii="宋体" w:hAnsi="宋体" w:eastAsia="宋体" w:cs="宋体"/>
          <w:sz w:val="21"/>
          <w:szCs w:val="21"/>
        </w:rPr>
        <w:t>×</w:t>
      </w:r>
      <w:r>
        <w:rPr>
          <w:rStyle w:val="5"/>
          <w:rFonts w:hint="eastAsia" w:ascii="宋体" w:hAnsi="宋体" w:eastAsia="宋体" w:cs="宋体"/>
          <w:sz w:val="21"/>
          <w:szCs w:val="21"/>
        </w:rPr>
        <w:t>“数量”</w:t>
      </w:r>
      <w:r>
        <w:rPr>
          <w:rFonts w:hint="eastAsia" w:ascii="宋体" w:hAnsi="宋体" w:eastAsia="宋体" w:cs="宋体"/>
          <w:sz w:val="21"/>
          <w:szCs w:val="21"/>
        </w:rPr>
        <w:t>=</w:t>
      </w:r>
      <w:r>
        <w:rPr>
          <w:rStyle w:val="5"/>
          <w:rFonts w:hint="eastAsia" w:ascii="宋体" w:hAnsi="宋体" w:eastAsia="宋体" w:cs="宋体"/>
          <w:sz w:val="21"/>
          <w:szCs w:val="21"/>
        </w:rPr>
        <w:t>“总价（现场）”</w:t>
      </w:r>
      <w:r>
        <w:rPr>
          <w:rFonts w:hint="eastAsia" w:ascii="宋体" w:hAnsi="宋体" w:eastAsia="宋体" w:cs="宋体"/>
          <w:sz w:val="21"/>
          <w:szCs w:val="21"/>
        </w:rPr>
        <w:t>，全部品目号</w:t>
      </w:r>
      <w:r>
        <w:rPr>
          <w:rStyle w:val="5"/>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5"/>
          <w:rFonts w:hint="eastAsia" w:ascii="宋体" w:hAnsi="宋体" w:eastAsia="宋体" w:cs="宋体"/>
          <w:sz w:val="21"/>
          <w:szCs w:val="21"/>
        </w:rPr>
        <w:t>“投标总价”</w:t>
      </w:r>
      <w:r>
        <w:rPr>
          <w:rFonts w:hint="eastAsia" w:ascii="宋体" w:hAnsi="宋体" w:eastAsia="宋体" w:cs="宋体"/>
          <w:sz w:val="21"/>
          <w:szCs w:val="21"/>
        </w:rPr>
        <w:t>保持一致。</w:t>
      </w:r>
    </w:p>
    <w:p>
      <w:pPr>
        <w:pStyle w:val="3"/>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5"/>
          <w:rFonts w:hint="eastAsia" w:ascii="宋体" w:hAnsi="宋体" w:eastAsia="宋体" w:cs="宋体"/>
          <w:sz w:val="21"/>
          <w:szCs w:val="21"/>
        </w:rPr>
        <w:t>“备注”</w:t>
      </w:r>
      <w:r>
        <w:rPr>
          <w:rFonts w:hint="eastAsia" w:ascii="宋体" w:hAnsi="宋体" w:eastAsia="宋体" w:cs="宋体"/>
          <w:sz w:val="21"/>
          <w:szCs w:val="21"/>
        </w:rPr>
        <w:t>项下填写。</w:t>
      </w:r>
    </w:p>
    <w:p>
      <w:pPr>
        <w:pStyle w:val="3"/>
        <w:keepNext w:val="0"/>
        <w:keepLines w:val="0"/>
        <w:widowControl/>
        <w:suppressLineNumbers w:val="0"/>
      </w:pPr>
      <w:r>
        <w:rPr>
          <w:rFonts w:hint="eastAsia" w:ascii="宋体" w:hAnsi="宋体" w:eastAsia="宋体" w:cs="宋体"/>
          <w:sz w:val="21"/>
          <w:szCs w:val="21"/>
        </w:rPr>
        <w:t>2、纸质投标文件正本中的本表应为原件。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三、招标文件规定的价格扣除证明材料（若有）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三-1优先类节能产品、环境标志产品价格扣除证明材料（若有）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三-1-①优先类节能产品、环境标志产品统计表（价格扣除适用，若有）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14"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3"/>
        <w:gridCol w:w="1212"/>
        <w:gridCol w:w="1212"/>
        <w:gridCol w:w="1212"/>
        <w:gridCol w:w="1212"/>
        <w:gridCol w:w="1212"/>
        <w:gridCol w:w="1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6"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6"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5"/>
          <w:rFonts w:hint="eastAsia" w:ascii="宋体" w:hAnsi="宋体" w:eastAsia="宋体" w:cs="宋体"/>
          <w:sz w:val="21"/>
          <w:szCs w:val="21"/>
        </w:rPr>
        <w:t>“三</w:t>
      </w:r>
      <w:r>
        <w:rPr>
          <w:rStyle w:val="5"/>
          <w:rFonts w:hint="default" w:ascii="Calibri" w:hAnsi="Calibri" w:eastAsia="宋体" w:cs="Calibri"/>
          <w:sz w:val="21"/>
          <w:szCs w:val="21"/>
        </w:rPr>
        <w:t>-1-</w:t>
      </w:r>
      <w:r>
        <w:rPr>
          <w:rStyle w:val="5"/>
          <w:rFonts w:hint="eastAsia" w:ascii="宋体" w:hAnsi="宋体" w:eastAsia="宋体" w:cs="宋体"/>
          <w:sz w:val="21"/>
          <w:szCs w:val="21"/>
        </w:rPr>
        <w:t>②优先类节能产品、环境标志产品证明材料（价格扣除适用，若有）”。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3、具体统计、计算：</w:t>
      </w:r>
    </w:p>
    <w:p>
      <w:pPr>
        <w:pStyle w:val="3"/>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pPr>
      <w:r>
        <w:rPr>
          <w:rFonts w:hint="eastAsia" w:ascii="宋体" w:hAnsi="宋体" w:eastAsia="宋体" w:cs="宋体"/>
          <w:sz w:val="21"/>
          <w:szCs w:val="21"/>
        </w:rPr>
        <w:t>3.4若无节能、环境标志产品，不填写本表，否则，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三-1-②优先类节能产品、环境标志产品证明材料（价格扣除适用，若有）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三-2小型、微型企业产品等价格扣除证明材料（若有）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三-2-①小型、微型企业产品等统计表（价格扣除适用，若有）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05"/>
        <w:gridCol w:w="1204"/>
        <w:gridCol w:w="1074"/>
        <w:gridCol w:w="995"/>
        <w:gridCol w:w="715"/>
        <w:gridCol w:w="995"/>
        <w:gridCol w:w="1132"/>
        <w:gridCol w:w="11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66" w:type="dxa"/>
            <w:gridSpan w:val="7"/>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7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4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6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6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0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5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0"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7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04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7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04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66" w:type="dxa"/>
            <w:gridSpan w:val="7"/>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5"/>
          <w:rFonts w:hint="eastAsia" w:ascii="宋体" w:hAnsi="宋体" w:eastAsia="宋体" w:cs="宋体"/>
          <w:sz w:val="21"/>
          <w:szCs w:val="21"/>
        </w:rPr>
        <w:t>“三</w:t>
      </w:r>
      <w:r>
        <w:rPr>
          <w:rStyle w:val="5"/>
          <w:rFonts w:hint="default" w:ascii="Calibri" w:hAnsi="Calibri" w:eastAsia="宋体" w:cs="Calibri"/>
          <w:sz w:val="21"/>
          <w:szCs w:val="21"/>
        </w:rPr>
        <w:t>-2-</w:t>
      </w:r>
      <w:r>
        <w:rPr>
          <w:rStyle w:val="5"/>
          <w:rFonts w:hint="eastAsia" w:ascii="宋体" w:hAnsi="宋体" w:eastAsia="宋体" w:cs="宋体"/>
          <w:sz w:val="21"/>
          <w:szCs w:val="21"/>
        </w:rPr>
        <w:t>②中小企业声明函（价格扣除适用，若有）”及“三</w:t>
      </w:r>
      <w:r>
        <w:rPr>
          <w:rStyle w:val="5"/>
          <w:rFonts w:hint="default" w:ascii="Calibri" w:hAnsi="Calibri" w:eastAsia="宋体" w:cs="Calibri"/>
          <w:sz w:val="21"/>
          <w:szCs w:val="21"/>
        </w:rPr>
        <w:t>-2-</w:t>
      </w:r>
      <w:r>
        <w:rPr>
          <w:rStyle w:val="5"/>
          <w:rFonts w:hint="eastAsia" w:ascii="宋体" w:hAnsi="宋体" w:eastAsia="宋体" w:cs="宋体"/>
          <w:sz w:val="21"/>
          <w:szCs w:val="21"/>
        </w:rPr>
        <w:t>③小型、微型企业等证明材料（价格扣除适用，若有）”。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除本表第4条规定情形外，小型、微型企业（含监狱企业）承担的工程或提供的服务不享受价格扣除。</w:t>
      </w:r>
    </w:p>
    <w:p>
      <w:pPr>
        <w:pStyle w:val="3"/>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5"/>
          <w:rFonts w:hint="eastAsia" w:ascii="宋体" w:hAnsi="宋体" w:eastAsia="宋体" w:cs="宋体"/>
          <w:sz w:val="21"/>
          <w:szCs w:val="21"/>
        </w:rPr>
        <w:t>可享受价格扣除。</w:t>
      </w:r>
    </w:p>
    <w:p>
      <w:pPr>
        <w:pStyle w:val="3"/>
        <w:keepNext w:val="0"/>
        <w:keepLines w:val="0"/>
        <w:widowControl/>
        <w:suppressLineNumbers w:val="0"/>
      </w:pPr>
      <w:r>
        <w:rPr>
          <w:rFonts w:hint="eastAsia" w:ascii="宋体" w:hAnsi="宋体" w:eastAsia="宋体" w:cs="宋体"/>
          <w:sz w:val="21"/>
          <w:szCs w:val="21"/>
        </w:rPr>
        <w:t>5、纸质投标文件正本中的本表（若有）应为原件。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三-2-②中小企业声明函（价格扣除适用，若有）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3"/>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3"/>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xml:space="preserve"> （填写“项目名称”） </w:t>
      </w:r>
      <w:r>
        <w:rPr>
          <w:rFonts w:hint="eastAsia" w:ascii="宋体" w:hAnsi="宋体" w:eastAsia="宋体" w:cs="宋体"/>
          <w:sz w:val="21"/>
          <w:szCs w:val="21"/>
        </w:rPr>
        <w:t>项目采购活动，其中：</w:t>
      </w:r>
    </w:p>
    <w:p>
      <w:pPr>
        <w:pStyle w:val="3"/>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3"/>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②工程：</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③服务：</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pPr>
      <w:r>
        <w:rPr>
          <w:rFonts w:hint="eastAsia" w:ascii="宋体" w:hAnsi="宋体" w:eastAsia="宋体" w:cs="宋体"/>
          <w:sz w:val="21"/>
          <w:szCs w:val="21"/>
        </w:rPr>
        <w:t>3、若《中小企业声明函》内容不真实，</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4、投标人为监狱企业的，可不填写本声明函。</w:t>
      </w:r>
    </w:p>
    <w:p>
      <w:pPr>
        <w:pStyle w:val="3"/>
        <w:keepNext w:val="0"/>
        <w:keepLines w:val="0"/>
        <w:widowControl/>
        <w:suppressLineNumbers w:val="0"/>
      </w:pPr>
      <w:r>
        <w:rPr>
          <w:rFonts w:hint="eastAsia" w:ascii="宋体" w:hAnsi="宋体" w:eastAsia="宋体" w:cs="宋体"/>
          <w:sz w:val="21"/>
          <w:szCs w:val="21"/>
        </w:rPr>
        <w:t>5、投标人为残疾人福利性单位的，可不填写本声明函。</w:t>
      </w:r>
    </w:p>
    <w:p>
      <w:pPr>
        <w:pStyle w:val="3"/>
        <w:keepNext w:val="0"/>
        <w:keepLines w:val="0"/>
        <w:widowControl/>
        <w:suppressLineNumbers w:val="0"/>
      </w:pPr>
      <w:r>
        <w:rPr>
          <w:rFonts w:hint="eastAsia" w:ascii="宋体" w:hAnsi="宋体" w:eastAsia="宋体" w:cs="宋体"/>
          <w:sz w:val="21"/>
          <w:szCs w:val="21"/>
        </w:rPr>
        <w:t>6、纸质投标文件正本中的本声明函（若有）应为原件。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三-2-③小型、微型企业等证明材料（价格扣除适用，若有）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3"/>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jc w:val="center"/>
      </w:pPr>
      <w:r>
        <w:rPr>
          <w:rStyle w:val="5"/>
          <w:rFonts w:hint="eastAsia" w:ascii="宋体" w:hAnsi="宋体" w:eastAsia="宋体" w:cs="宋体"/>
          <w:sz w:val="21"/>
          <w:szCs w:val="21"/>
        </w:rPr>
        <w:t>残疾人福利性单位声明函（价格扣除适用，若有）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3"/>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3、若《残疾人福利性单位声明函》内容不真实，</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5"/>
          <w:rFonts w:hint="eastAsia" w:ascii="宋体" w:hAnsi="宋体" w:eastAsia="宋体" w:cs="宋体"/>
          <w:sz w:val="21"/>
          <w:szCs w:val="21"/>
        </w:rPr>
        <w:t>可享受价格扣除。</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三-3招标文件规定的其他价格扣除证明材料（若有）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5"/>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四、招标文件规定的加分证明材料（若有）</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四-1优先类节能产品、环境标志产品加分证明材料（若有）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四-1-①优先类节能产品、环境标志产品统计表（加分适用，若有）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14"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3"/>
        <w:gridCol w:w="1212"/>
        <w:gridCol w:w="1212"/>
        <w:gridCol w:w="1212"/>
        <w:gridCol w:w="1212"/>
        <w:gridCol w:w="1212"/>
        <w:gridCol w:w="1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6"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6"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5"/>
          <w:rFonts w:hint="eastAsia" w:ascii="宋体" w:hAnsi="宋体" w:eastAsia="宋体" w:cs="宋体"/>
          <w:sz w:val="21"/>
          <w:szCs w:val="21"/>
        </w:rPr>
        <w:t>“四</w:t>
      </w:r>
      <w:r>
        <w:rPr>
          <w:rStyle w:val="5"/>
          <w:rFonts w:hint="default" w:ascii="Calibri" w:hAnsi="Calibri" w:eastAsia="宋体" w:cs="Calibri"/>
          <w:sz w:val="21"/>
          <w:szCs w:val="21"/>
        </w:rPr>
        <w:t>-1-</w:t>
      </w:r>
      <w:r>
        <w:rPr>
          <w:rStyle w:val="5"/>
          <w:rFonts w:hint="eastAsia" w:ascii="宋体" w:hAnsi="宋体" w:eastAsia="宋体" w:cs="宋体"/>
          <w:sz w:val="21"/>
          <w:szCs w:val="21"/>
        </w:rPr>
        <w:t>②优先类节能产品、环境标志产品加分证明材料（加分适用，若有）”。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3、具体统计、计算：</w:t>
      </w:r>
    </w:p>
    <w:p>
      <w:pPr>
        <w:pStyle w:val="3"/>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pPr>
      <w:r>
        <w:rPr>
          <w:rFonts w:hint="eastAsia" w:ascii="宋体" w:hAnsi="宋体" w:eastAsia="宋体" w:cs="宋体"/>
          <w:sz w:val="21"/>
          <w:szCs w:val="21"/>
        </w:rPr>
        <w:t>3.4若无节能、环境标志产品，不填写本表，否则，</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四-1-②优先类节能产品、环境标志产品证明材料（加分适用，若有）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5"/>
          <w:rFonts w:hint="eastAsia" w:ascii="宋体" w:hAnsi="宋体" w:eastAsia="宋体" w:cs="宋体"/>
          <w:sz w:val="21"/>
          <w:szCs w:val="21"/>
        </w:rPr>
        <w:t>-2招标文件规定的其他加分证明材料（若有）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5"/>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（技术商务部分）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一、标的说明一览表</w:t>
      </w:r>
    </w:p>
    <w:p>
      <w:pPr>
        <w:pStyle w:val="3"/>
        <w:keepNext w:val="0"/>
        <w:keepLines w:val="0"/>
        <w:widowControl/>
        <w:suppressLineNumbers w:val="0"/>
      </w:pPr>
      <w:r>
        <w:rPr>
          <w:rFonts w:hint="eastAsia" w:ascii="宋体" w:hAnsi="宋体" w:eastAsia="宋体" w:cs="宋体"/>
          <w:sz w:val="28"/>
          <w:szCs w:val="28"/>
        </w:rPr>
        <w:t>二、技术和服务要求响应表</w:t>
      </w:r>
    </w:p>
    <w:p>
      <w:pPr>
        <w:pStyle w:val="3"/>
        <w:keepNext w:val="0"/>
        <w:keepLines w:val="0"/>
        <w:widowControl/>
        <w:suppressLineNumbers w:val="0"/>
      </w:pPr>
      <w:r>
        <w:rPr>
          <w:rFonts w:hint="eastAsia" w:ascii="宋体" w:hAnsi="宋体" w:eastAsia="宋体" w:cs="宋体"/>
          <w:sz w:val="28"/>
          <w:szCs w:val="28"/>
        </w:rPr>
        <w:t>三、商务条件响应表</w:t>
      </w:r>
    </w:p>
    <w:p>
      <w:pPr>
        <w:pStyle w:val="3"/>
        <w:keepNext w:val="0"/>
        <w:keepLines w:val="0"/>
        <w:widowControl/>
        <w:suppressLineNumbers w:val="0"/>
      </w:pPr>
      <w:r>
        <w:rPr>
          <w:rFonts w:hint="eastAsia" w:ascii="宋体" w:hAnsi="宋体" w:eastAsia="宋体" w:cs="宋体"/>
          <w:sz w:val="28"/>
          <w:szCs w:val="28"/>
        </w:rPr>
        <w:t>四、投标人提交的其他资料（若有）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★注意</w:t>
      </w:r>
    </w:p>
    <w:p>
      <w:pPr>
        <w:pStyle w:val="3"/>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5"/>
          <w:rFonts w:hint="eastAsia" w:ascii="宋体" w:hAnsi="宋体" w:eastAsia="宋体" w:cs="宋体"/>
          <w:sz w:val="21"/>
          <w:szCs w:val="21"/>
        </w:rPr>
        <w:t>符合性审查不合格</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一、标的说明一览表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17"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82"/>
        <w:gridCol w:w="871"/>
        <w:gridCol w:w="1671"/>
        <w:gridCol w:w="866"/>
        <w:gridCol w:w="1139"/>
        <w:gridCol w:w="1139"/>
        <w:gridCol w:w="18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4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3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0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0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7"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64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7"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64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4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3"/>
        <w:keepNext w:val="0"/>
        <w:keepLines w:val="0"/>
        <w:widowControl/>
        <w:suppressLineNumbers w:val="0"/>
      </w:pPr>
      <w:r>
        <w:rPr>
          <w:rFonts w:hint="eastAsia" w:ascii="宋体" w:hAnsi="宋体" w:eastAsia="宋体" w:cs="宋体"/>
          <w:sz w:val="21"/>
          <w:szCs w:val="21"/>
        </w:rPr>
        <w:t>1.2“投标标的”为货物的：</w:t>
      </w:r>
      <w:r>
        <w:rPr>
          <w:rStyle w:val="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5"/>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5"/>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3"/>
        <w:keepNext w:val="0"/>
        <w:keepLines w:val="0"/>
        <w:widowControl/>
        <w:suppressLineNumbers w:val="0"/>
      </w:pPr>
      <w:r>
        <w:rPr>
          <w:rFonts w:hint="eastAsia" w:ascii="宋体" w:hAnsi="宋体" w:eastAsia="宋体" w:cs="宋体"/>
          <w:sz w:val="21"/>
          <w:szCs w:val="21"/>
        </w:rPr>
        <w:t>1.3“投标标的”为服务的：</w:t>
      </w:r>
      <w:r>
        <w:rPr>
          <w:rStyle w:val="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5"/>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5"/>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3、投标文件中涉及</w:t>
      </w:r>
      <w:r>
        <w:rPr>
          <w:rStyle w:val="5"/>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5"/>
          <w:rFonts w:hint="eastAsia" w:ascii="宋体" w:hAnsi="宋体" w:eastAsia="宋体" w:cs="宋体"/>
          <w:sz w:val="21"/>
          <w:szCs w:val="21"/>
        </w:rPr>
        <w:t>应以本表为准</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二、技术和服务要求响应表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89"/>
        <w:gridCol w:w="875"/>
        <w:gridCol w:w="2926"/>
        <w:gridCol w:w="1833"/>
        <w:gridCol w:w="1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0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5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44"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5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4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289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5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3"/>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3"/>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三、商务条件响应表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89"/>
        <w:gridCol w:w="875"/>
        <w:gridCol w:w="2926"/>
        <w:gridCol w:w="1833"/>
        <w:gridCol w:w="1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0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5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44"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5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4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289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5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3"/>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3"/>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四、投标人提交的其他资料（若有）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1、招标文件要求提交的除</w:t>
      </w:r>
      <w:r>
        <w:rPr>
          <w:rStyle w:val="5"/>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3"/>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3"/>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pPr>
      <w:r>
        <w:t>采购文件相关附件</w:t>
      </w:r>
    </w:p>
    <w:p>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"http://www.fzszfcg.gov.cn/gpmsqx/ExpertChange/downloadShare?id=764f78ec5a7a4cf9837997d0979339c2" </w:instrText>
      </w:r>
      <w:r>
        <w:fldChar w:fldCharType="separate"/>
      </w:r>
      <w:r>
        <w:rPr>
          <w:rStyle w:val="6"/>
        </w:rPr>
        <w:t>长乐区营前街道村庄污水入户管网一期工程项目图纸.rar</w:t>
      </w:r>
      <w:r>
        <w:fldChar w:fldCharType="end"/>
      </w:r>
    </w:p>
    <w:p>
      <w:pPr>
        <w:keepNext w:val="0"/>
        <w:keepLines w:val="0"/>
        <w:widowControl/>
        <w:suppressLineNumbers w:val="0"/>
        <w:jc w:val="left"/>
      </w:pPr>
      <w:r>
        <w:rPr>
          <w:rFonts w:hint="default" w:ascii="Calibri" w:hAnsi="Calibri" w:eastAsia="宋体" w:cs="Calibri"/>
          <w:spacing w:val="0"/>
          <w:kern w:val="0"/>
          <w:sz w:val="21"/>
          <w:szCs w:val="21"/>
          <w:lang w:val="en-US" w:eastAsia="zh-CN" w:bidi="ar"/>
        </w:rPr>
        <w:t> </w:t>
      </w:r>
    </w:p>
    <w:p>
      <w:pPr>
        <w:pStyle w:val="3"/>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p>
    <w:p>
      <w:pPr>
        <w:pStyle w:val="3"/>
        <w:keepNext w:val="0"/>
        <w:keepLines w:val="0"/>
        <w:widowControl/>
        <w:suppressLineNumbers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84D86"/>
    <w:multiLevelType w:val="multilevel"/>
    <w:tmpl w:val="CA184D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5F6D"/>
    <w:rsid w:val="0BFF50A8"/>
    <w:rsid w:val="141E7DCD"/>
    <w:rsid w:val="172D5CFA"/>
    <w:rsid w:val="1C95280F"/>
    <w:rsid w:val="2CC70D92"/>
    <w:rsid w:val="31F21491"/>
    <w:rsid w:val="40C7344A"/>
    <w:rsid w:val="4ABF2006"/>
    <w:rsid w:val="4E4E2EBB"/>
    <w:rsid w:val="4F492573"/>
    <w:rsid w:val="57915181"/>
    <w:rsid w:val="5A2C0A2C"/>
    <w:rsid w:val="704D54EF"/>
    <w:rsid w:val="7C28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に低調の緈諨</cp:lastModifiedBy>
  <dcterms:modified xsi:type="dcterms:W3CDTF">2018-09-30T06:52:05Z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