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80" w:rsidRDefault="00216A21" w:rsidP="00352B80">
      <w:pPr>
        <w:pStyle w:val="a6"/>
        <w:spacing w:line="480" w:lineRule="atLeast"/>
        <w:jc w:val="center"/>
      </w:pPr>
      <w:r w:rsidRPr="00216A21">
        <w:rPr>
          <w:rStyle w:val="a5"/>
          <w:rFonts w:hint="eastAsia"/>
          <w:snapToGrid w:val="0"/>
        </w:rPr>
        <w:t>通州•北京城市副中心水环境治理（</w:t>
      </w:r>
      <w:r w:rsidR="0024119C">
        <w:rPr>
          <w:rStyle w:val="a5"/>
          <w:rFonts w:hint="eastAsia"/>
          <w:snapToGrid w:val="0"/>
        </w:rPr>
        <w:t>于永</w:t>
      </w:r>
      <w:r w:rsidRPr="00216A21">
        <w:rPr>
          <w:rStyle w:val="a5"/>
          <w:rFonts w:hint="eastAsia"/>
          <w:snapToGrid w:val="0"/>
        </w:rPr>
        <w:t>片区）PPP建设项目</w:t>
      </w:r>
    </w:p>
    <w:p w:rsidR="00352B80" w:rsidRDefault="00352B80" w:rsidP="00352B80">
      <w:pPr>
        <w:pStyle w:val="a6"/>
        <w:spacing w:line="480" w:lineRule="atLeast"/>
        <w:jc w:val="center"/>
      </w:pPr>
      <w:proofErr w:type="gramStart"/>
      <w:r>
        <w:rPr>
          <w:rStyle w:val="a5"/>
          <w:rFonts w:hint="eastAsia"/>
          <w:snapToGrid w:val="0"/>
        </w:rPr>
        <w:t>预成交</w:t>
      </w:r>
      <w:proofErr w:type="gramEnd"/>
      <w:r>
        <w:rPr>
          <w:rStyle w:val="a5"/>
          <w:rFonts w:hint="eastAsia"/>
          <w:snapToGrid w:val="0"/>
        </w:rPr>
        <w:t>结果公示</w:t>
      </w:r>
    </w:p>
    <w:p w:rsidR="00352B80" w:rsidRDefault="00474A76" w:rsidP="00BB4E6B">
      <w:pPr>
        <w:pStyle w:val="a6"/>
        <w:spacing w:before="0" w:beforeAutospacing="0" w:after="0" w:afterAutospacing="0" w:line="520" w:lineRule="atLeast"/>
        <w:ind w:left="-2" w:firstLineChars="200" w:firstLine="480"/>
      </w:pPr>
      <w:r>
        <w:rPr>
          <w:rFonts w:hint="eastAsia"/>
        </w:rPr>
        <w:t>依据《政府和社会资本合作项目政府采购管理办法》的相关规定，</w:t>
      </w:r>
      <w:r w:rsidR="004110EA">
        <w:rPr>
          <w:rFonts w:hint="eastAsia"/>
        </w:rPr>
        <w:t>通州区水</w:t>
      </w:r>
      <w:proofErr w:type="gramStart"/>
      <w:r w:rsidR="004110EA">
        <w:rPr>
          <w:rFonts w:hint="eastAsia"/>
        </w:rPr>
        <w:t>务</w:t>
      </w:r>
      <w:proofErr w:type="gramEnd"/>
      <w:r w:rsidR="004110EA">
        <w:rPr>
          <w:rFonts w:hint="eastAsia"/>
        </w:rPr>
        <w:t>局作为</w:t>
      </w:r>
      <w:r>
        <w:rPr>
          <w:rFonts w:hint="eastAsia"/>
        </w:rPr>
        <w:t>实施机构组织</w:t>
      </w:r>
      <w:r w:rsidR="004110EA">
        <w:rPr>
          <w:rFonts w:hint="eastAsia"/>
        </w:rPr>
        <w:t>了</w:t>
      </w:r>
      <w:r w:rsidR="00C41EE5" w:rsidRPr="00C41EE5">
        <w:rPr>
          <w:rFonts w:hint="eastAsia"/>
        </w:rPr>
        <w:t>通州•北京城市副中心水环境治理（</w:t>
      </w:r>
      <w:r w:rsidR="0024119C">
        <w:rPr>
          <w:rFonts w:hint="eastAsia"/>
        </w:rPr>
        <w:t>于永</w:t>
      </w:r>
      <w:r w:rsidR="00C41EE5" w:rsidRPr="00C41EE5">
        <w:rPr>
          <w:rFonts w:hint="eastAsia"/>
        </w:rPr>
        <w:t>片区）PPP建设项目</w:t>
      </w:r>
      <w:r w:rsidR="004110EA">
        <w:rPr>
          <w:rFonts w:hint="eastAsia"/>
        </w:rPr>
        <w:t>采购结果</w:t>
      </w:r>
      <w:r w:rsidR="00003B86">
        <w:rPr>
          <w:rFonts w:hint="eastAsia"/>
        </w:rPr>
        <w:t>确认</w:t>
      </w:r>
      <w:r w:rsidR="004110EA">
        <w:rPr>
          <w:rFonts w:hint="eastAsia"/>
        </w:rPr>
        <w:t>谈判，</w:t>
      </w:r>
      <w:r w:rsidR="00352B80">
        <w:rPr>
          <w:rFonts w:hint="eastAsia"/>
        </w:rPr>
        <w:t>经采购结果确认谈判工作组按程序与成交候选供应商</w:t>
      </w:r>
      <w:r w:rsidR="00003B86">
        <w:rPr>
          <w:rFonts w:hint="eastAsia"/>
        </w:rPr>
        <w:t>第一名</w:t>
      </w:r>
      <w:r w:rsidR="00352B80">
        <w:rPr>
          <w:rFonts w:hint="eastAsia"/>
        </w:rPr>
        <w:t>就项目合</w:t>
      </w:r>
      <w:r w:rsidR="004110EA">
        <w:rPr>
          <w:rFonts w:hint="eastAsia"/>
        </w:rPr>
        <w:t>同中可变的细节问题进行项目合同签署前的确认谈判达成一致意见，并</w:t>
      </w:r>
      <w:r w:rsidR="00352B80">
        <w:rPr>
          <w:rFonts w:hint="eastAsia"/>
        </w:rPr>
        <w:t>形成谈判备忘</w:t>
      </w:r>
      <w:r w:rsidR="00003B86">
        <w:rPr>
          <w:rFonts w:hint="eastAsia"/>
        </w:rPr>
        <w:t>录</w:t>
      </w:r>
      <w:r w:rsidR="00352B80">
        <w:rPr>
          <w:rFonts w:hint="eastAsia"/>
        </w:rPr>
        <w:t>，现将</w:t>
      </w:r>
      <w:proofErr w:type="gramStart"/>
      <w:r w:rsidR="00352B80">
        <w:rPr>
          <w:rFonts w:hint="eastAsia"/>
        </w:rPr>
        <w:t>预成交</w:t>
      </w:r>
      <w:proofErr w:type="gramEnd"/>
      <w:r w:rsidR="00352B80">
        <w:rPr>
          <w:rFonts w:hint="eastAsia"/>
        </w:rPr>
        <w:t>结果公示如下：</w:t>
      </w:r>
    </w:p>
    <w:p w:rsidR="00352B80" w:rsidRDefault="00352B80" w:rsidP="00352B80">
      <w:pPr>
        <w:pStyle w:val="a6"/>
        <w:spacing w:before="0" w:beforeAutospacing="0" w:after="0" w:afterAutospacing="0" w:line="520" w:lineRule="atLeast"/>
        <w:ind w:left="1260" w:hanging="1260"/>
      </w:pPr>
      <w:r>
        <w:rPr>
          <w:rFonts w:hint="eastAsia"/>
        </w:rPr>
        <w:t>项目名称：</w:t>
      </w:r>
      <w:r w:rsidR="00216A21">
        <w:rPr>
          <w:rFonts w:hint="eastAsia"/>
        </w:rPr>
        <w:t>通州•北京城市副中心水环境治理（</w:t>
      </w:r>
      <w:r w:rsidR="0024119C">
        <w:rPr>
          <w:rFonts w:hint="eastAsia"/>
        </w:rPr>
        <w:t>于永</w:t>
      </w:r>
      <w:r w:rsidR="00216A21">
        <w:rPr>
          <w:rFonts w:hint="eastAsia"/>
        </w:rPr>
        <w:t>片区）PPP建设项目</w:t>
      </w:r>
    </w:p>
    <w:p w:rsidR="00352B80" w:rsidRDefault="00352B80" w:rsidP="00352B80">
      <w:pPr>
        <w:pStyle w:val="a6"/>
        <w:spacing w:before="0" w:beforeAutospacing="0" w:after="0" w:afterAutospacing="0" w:line="520" w:lineRule="atLeast"/>
        <w:ind w:left="1560" w:hanging="1560"/>
      </w:pPr>
      <w:r>
        <w:rPr>
          <w:rFonts w:hint="eastAsia"/>
        </w:rPr>
        <w:t>项目实施机构：</w:t>
      </w:r>
      <w:r w:rsidR="00216A21">
        <w:rPr>
          <w:rFonts w:hint="eastAsia"/>
        </w:rPr>
        <w:t>北京市通州区水</w:t>
      </w:r>
      <w:proofErr w:type="gramStart"/>
      <w:r w:rsidR="00216A21">
        <w:rPr>
          <w:rFonts w:hint="eastAsia"/>
        </w:rPr>
        <w:t>务</w:t>
      </w:r>
      <w:proofErr w:type="gramEnd"/>
      <w:r w:rsidR="00216A21">
        <w:rPr>
          <w:rFonts w:hint="eastAsia"/>
        </w:rPr>
        <w:t>局</w:t>
      </w:r>
    </w:p>
    <w:p w:rsidR="00352B80" w:rsidRDefault="00352B80" w:rsidP="00352B80">
      <w:pPr>
        <w:pStyle w:val="a6"/>
        <w:spacing w:before="0" w:beforeAutospacing="0" w:after="0" w:afterAutospacing="0" w:line="520" w:lineRule="atLeast"/>
        <w:ind w:left="1560" w:hanging="1560"/>
      </w:pPr>
      <w:r>
        <w:rPr>
          <w:rFonts w:hint="eastAsia"/>
        </w:rPr>
        <w:t>地址：</w:t>
      </w:r>
      <w:r w:rsidR="00216A21">
        <w:rPr>
          <w:rFonts w:hint="eastAsia"/>
        </w:rPr>
        <w:t>北京市通州区新华北路153号</w:t>
      </w:r>
    </w:p>
    <w:p w:rsidR="00352B80" w:rsidRDefault="00352B80" w:rsidP="00352B80">
      <w:pPr>
        <w:pStyle w:val="a6"/>
        <w:spacing w:before="0" w:beforeAutospacing="0" w:after="0" w:afterAutospacing="0" w:line="520" w:lineRule="atLeast"/>
        <w:ind w:left="1560" w:hanging="1560"/>
      </w:pPr>
      <w:r>
        <w:rPr>
          <w:rFonts w:hint="eastAsia"/>
        </w:rPr>
        <w:t>联系人及电话：</w:t>
      </w:r>
      <w:r w:rsidR="00216A21">
        <w:rPr>
          <w:rFonts w:hint="eastAsia"/>
        </w:rPr>
        <w:t>郝少魁 80883002</w:t>
      </w:r>
    </w:p>
    <w:p w:rsidR="00352B80" w:rsidRDefault="00352B80" w:rsidP="00352B80">
      <w:pPr>
        <w:pStyle w:val="a6"/>
        <w:spacing w:before="0" w:beforeAutospacing="0" w:after="0" w:afterAutospacing="0" w:line="520" w:lineRule="atLeast"/>
        <w:ind w:left="1560" w:hanging="1560"/>
      </w:pPr>
      <w:r>
        <w:rPr>
          <w:rFonts w:hint="eastAsia"/>
        </w:rPr>
        <w:t>代理机构：</w:t>
      </w:r>
      <w:r w:rsidR="004320DA">
        <w:rPr>
          <w:rFonts w:hint="eastAsia"/>
        </w:rPr>
        <w:t>北京大岳咨询有限责任公司</w:t>
      </w:r>
    </w:p>
    <w:p w:rsidR="00352B80" w:rsidRDefault="00352B80" w:rsidP="00352B80">
      <w:pPr>
        <w:pStyle w:val="a6"/>
        <w:spacing w:before="0" w:beforeAutospacing="0" w:after="0" w:afterAutospacing="0" w:line="520" w:lineRule="atLeast"/>
        <w:ind w:left="1560" w:right="-359" w:hanging="1560"/>
      </w:pPr>
      <w:r>
        <w:rPr>
          <w:rFonts w:hint="eastAsia"/>
        </w:rPr>
        <w:t>地址：</w:t>
      </w:r>
      <w:r w:rsidR="004320DA" w:rsidRPr="004320DA">
        <w:rPr>
          <w:rFonts w:hint="eastAsia"/>
        </w:rPr>
        <w:t>北京市西城区金融街通泰大厦C座901</w:t>
      </w:r>
    </w:p>
    <w:p w:rsidR="00352B80" w:rsidRDefault="00352B80" w:rsidP="00352B80">
      <w:pPr>
        <w:pStyle w:val="a6"/>
        <w:spacing w:before="0" w:beforeAutospacing="0" w:after="0" w:afterAutospacing="0" w:line="520" w:lineRule="atLeast"/>
        <w:ind w:left="1560" w:hanging="1560"/>
      </w:pPr>
      <w:r>
        <w:rPr>
          <w:rFonts w:hint="eastAsia"/>
        </w:rPr>
        <w:t>联系人及电话：</w:t>
      </w:r>
      <w:r w:rsidR="004320DA">
        <w:rPr>
          <w:rFonts w:hint="eastAsia"/>
        </w:rPr>
        <w:t>吴磊</w:t>
      </w:r>
      <w:r w:rsidR="00216A21">
        <w:rPr>
          <w:rFonts w:hint="eastAsia"/>
        </w:rPr>
        <w:t xml:space="preserve"> </w:t>
      </w:r>
      <w:r w:rsidR="004320DA">
        <w:rPr>
          <w:rFonts w:hint="eastAsia"/>
        </w:rPr>
        <w:t>88086760</w:t>
      </w:r>
    </w:p>
    <w:p w:rsidR="00352B80" w:rsidRDefault="00352B80" w:rsidP="00352B80">
      <w:pPr>
        <w:pStyle w:val="a6"/>
        <w:spacing w:before="0" w:beforeAutospacing="0" w:after="0" w:afterAutospacing="0" w:line="520" w:lineRule="atLeast"/>
        <w:ind w:left="1560" w:hanging="1560"/>
      </w:pPr>
      <w:r>
        <w:rPr>
          <w:rFonts w:hint="eastAsia"/>
        </w:rPr>
        <w:t>采购方式：竞争性磋商</w:t>
      </w:r>
    </w:p>
    <w:p w:rsidR="00352B80" w:rsidRDefault="00352B80" w:rsidP="00352B80">
      <w:pPr>
        <w:pStyle w:val="a6"/>
        <w:spacing w:before="0" w:beforeAutospacing="0" w:after="0" w:afterAutospacing="0" w:line="520" w:lineRule="atLeast"/>
        <w:ind w:left="1560" w:hanging="1560"/>
      </w:pPr>
      <w:r>
        <w:rPr>
          <w:rFonts w:hint="eastAsia"/>
        </w:rPr>
        <w:t>采购结果确认</w:t>
      </w:r>
      <w:r w:rsidR="00003B86">
        <w:rPr>
          <w:rFonts w:hint="eastAsia"/>
        </w:rPr>
        <w:t>谈判</w:t>
      </w:r>
      <w:r>
        <w:rPr>
          <w:rFonts w:hint="eastAsia"/>
        </w:rPr>
        <w:t>时间：2016年</w:t>
      </w:r>
      <w:r w:rsidR="00216A21">
        <w:rPr>
          <w:rFonts w:hint="eastAsia"/>
        </w:rPr>
        <w:t>9</w:t>
      </w:r>
      <w:r>
        <w:rPr>
          <w:rFonts w:hint="eastAsia"/>
        </w:rPr>
        <w:t>月</w:t>
      </w:r>
      <w:r w:rsidR="00216A21">
        <w:rPr>
          <w:rFonts w:hint="eastAsia"/>
        </w:rPr>
        <w:t>12</w:t>
      </w:r>
      <w:r>
        <w:rPr>
          <w:rFonts w:hint="eastAsia"/>
        </w:rPr>
        <w:t>日</w:t>
      </w:r>
    </w:p>
    <w:p w:rsidR="00272BFB" w:rsidRPr="00272BFB" w:rsidRDefault="00352B80" w:rsidP="00272BFB">
      <w:pPr>
        <w:pStyle w:val="a6"/>
        <w:numPr>
          <w:ilvl w:val="0"/>
          <w:numId w:val="3"/>
        </w:numPr>
        <w:spacing w:before="0" w:beforeAutospacing="0" w:after="0" w:afterAutospacing="0" w:line="480" w:lineRule="auto"/>
        <w:rPr>
          <w:b/>
        </w:rPr>
      </w:pPr>
      <w:proofErr w:type="gramStart"/>
      <w:r w:rsidRPr="00272BFB">
        <w:rPr>
          <w:rFonts w:hint="eastAsia"/>
          <w:b/>
        </w:rPr>
        <w:t>预成交</w:t>
      </w:r>
      <w:proofErr w:type="gramEnd"/>
      <w:r w:rsidRPr="00272BFB">
        <w:rPr>
          <w:rFonts w:hint="eastAsia"/>
          <w:b/>
        </w:rPr>
        <w:t>供应商</w:t>
      </w:r>
      <w:r w:rsidR="00272BFB" w:rsidRPr="00272BFB">
        <w:rPr>
          <w:rFonts w:hint="eastAsia"/>
          <w:b/>
        </w:rPr>
        <w:t>及地址</w:t>
      </w:r>
      <w:r w:rsidRPr="00272BFB">
        <w:rPr>
          <w:rFonts w:hint="eastAsia"/>
          <w:b/>
        </w:rPr>
        <w:t>：</w:t>
      </w:r>
    </w:p>
    <w:tbl>
      <w:tblPr>
        <w:tblStyle w:val="ad"/>
        <w:tblW w:w="84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3260"/>
        <w:gridCol w:w="1314"/>
      </w:tblGrid>
      <w:tr w:rsidR="00BB4E6B" w:rsidTr="00003B86">
        <w:trPr>
          <w:trHeight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6B" w:rsidRPr="00272BFB" w:rsidRDefault="00BB4E6B" w:rsidP="00003B86">
            <w:pPr>
              <w:jc w:val="center"/>
              <w:rPr>
                <w:rFonts w:ascii="宋体" w:hAnsi="宋体" w:cs="宋体"/>
                <w:b/>
                <w:bCs/>
                <w:sz w:val="22"/>
                <w:szCs w:val="21"/>
              </w:rPr>
            </w:pPr>
            <w:r w:rsidRPr="00272BFB">
              <w:rPr>
                <w:rFonts w:ascii="宋体" w:hAnsi="宋体" w:cs="宋体" w:hint="eastAsia"/>
                <w:b/>
                <w:bCs/>
                <w:sz w:val="22"/>
                <w:szCs w:val="21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6B" w:rsidRPr="00272BFB" w:rsidRDefault="00BB4E6B" w:rsidP="00003B86">
            <w:pPr>
              <w:jc w:val="center"/>
              <w:rPr>
                <w:rFonts w:ascii="宋体" w:hAnsi="宋体" w:cs="宋体"/>
                <w:b/>
                <w:bCs/>
                <w:sz w:val="22"/>
                <w:szCs w:val="21"/>
              </w:rPr>
            </w:pPr>
            <w:r w:rsidRPr="00272BFB">
              <w:rPr>
                <w:rFonts w:ascii="宋体" w:hAnsi="宋体" w:cs="宋体" w:hint="eastAsia"/>
                <w:b/>
                <w:bCs/>
                <w:sz w:val="22"/>
                <w:szCs w:val="21"/>
              </w:rPr>
              <w:t>供应商名称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6B" w:rsidRPr="00272BFB" w:rsidRDefault="00BB4E6B" w:rsidP="00003B86">
            <w:pPr>
              <w:jc w:val="center"/>
              <w:rPr>
                <w:rFonts w:ascii="宋体" w:hAnsi="宋体" w:cs="宋体"/>
                <w:b/>
                <w:bCs/>
                <w:sz w:val="22"/>
                <w:szCs w:val="21"/>
              </w:rPr>
            </w:pPr>
            <w:r w:rsidRPr="00272BFB">
              <w:rPr>
                <w:rFonts w:ascii="宋体" w:hAnsi="宋体" w:cs="宋体" w:hint="eastAsia"/>
                <w:b/>
                <w:bCs/>
                <w:sz w:val="22"/>
                <w:szCs w:val="21"/>
              </w:rPr>
              <w:t>公司地址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6B" w:rsidRPr="00272BFB" w:rsidRDefault="00BB4E6B" w:rsidP="00003B86">
            <w:pPr>
              <w:jc w:val="center"/>
              <w:rPr>
                <w:rFonts w:ascii="宋体" w:hAnsi="宋体" w:cs="宋体"/>
                <w:b/>
                <w:bCs/>
                <w:sz w:val="22"/>
                <w:szCs w:val="21"/>
              </w:rPr>
            </w:pPr>
            <w:r w:rsidRPr="00272BFB">
              <w:rPr>
                <w:rFonts w:ascii="宋体" w:hAnsi="宋体" w:cs="宋体" w:hint="eastAsia"/>
                <w:b/>
                <w:bCs/>
                <w:sz w:val="22"/>
                <w:szCs w:val="21"/>
              </w:rPr>
              <w:t>备注</w:t>
            </w:r>
          </w:p>
        </w:tc>
      </w:tr>
      <w:tr w:rsidR="00BB4E6B" w:rsidTr="00003B8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6B" w:rsidRPr="00BB4E6B" w:rsidRDefault="00BB4E6B" w:rsidP="00003B86">
            <w:pPr>
              <w:pStyle w:val="a6"/>
              <w:spacing w:before="0" w:beforeAutospacing="0" w:after="0" w:afterAutospacing="0" w:line="520" w:lineRule="atLeast"/>
              <w:jc w:val="both"/>
            </w:pPr>
            <w:r w:rsidRPr="00BB4E6B">
              <w:rPr>
                <w:rFonts w:hint="eastAsi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6B" w:rsidRPr="00BB4E6B" w:rsidRDefault="0024119C" w:rsidP="00003B86">
            <w:pPr>
              <w:pStyle w:val="a6"/>
              <w:spacing w:before="0" w:beforeAutospacing="0" w:after="0" w:afterAutospacing="0" w:line="520" w:lineRule="atLeast"/>
              <w:jc w:val="both"/>
            </w:pPr>
            <w:r w:rsidRPr="0024119C">
              <w:rPr>
                <w:rFonts w:hint="eastAsia"/>
              </w:rPr>
              <w:t>中国葛洲坝集团股份有限公司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6B" w:rsidRPr="00BB4E6B" w:rsidRDefault="0024119C" w:rsidP="00003B86">
            <w:pPr>
              <w:pStyle w:val="a6"/>
              <w:spacing w:before="0" w:beforeAutospacing="0" w:after="0" w:afterAutospacing="0" w:line="520" w:lineRule="atLeast"/>
              <w:jc w:val="both"/>
            </w:pPr>
            <w:r w:rsidRPr="0024119C">
              <w:rPr>
                <w:rFonts w:hint="eastAsia"/>
              </w:rPr>
              <w:t>武汉市解放大道558号葛洲坝大酒店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6B" w:rsidRPr="00BB4E6B" w:rsidRDefault="00003B86" w:rsidP="00003B86">
            <w:pPr>
              <w:pStyle w:val="a6"/>
              <w:spacing w:before="0" w:beforeAutospacing="0" w:after="0" w:afterAutospacing="0" w:line="520" w:lineRule="atLeast"/>
              <w:jc w:val="both"/>
            </w:pPr>
            <w:r>
              <w:rPr>
                <w:rFonts w:hint="eastAsia"/>
              </w:rPr>
              <w:t>联合体</w:t>
            </w:r>
            <w:r w:rsidR="00BB4E6B" w:rsidRPr="00BB4E6B">
              <w:rPr>
                <w:rFonts w:hint="eastAsia"/>
              </w:rPr>
              <w:t>牵头公司</w:t>
            </w:r>
          </w:p>
        </w:tc>
      </w:tr>
      <w:tr w:rsidR="00BB4E6B" w:rsidTr="00003B8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6B" w:rsidRPr="00BB4E6B" w:rsidRDefault="00BB4E6B" w:rsidP="00003B86">
            <w:pPr>
              <w:pStyle w:val="a6"/>
              <w:spacing w:before="0" w:beforeAutospacing="0" w:after="0" w:afterAutospacing="0" w:line="520" w:lineRule="atLeast"/>
              <w:jc w:val="both"/>
            </w:pPr>
            <w:r w:rsidRPr="00BB4E6B">
              <w:rPr>
                <w:rFonts w:hint="eastAsia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6B" w:rsidRPr="00BB4E6B" w:rsidRDefault="0024119C" w:rsidP="00003B86">
            <w:pPr>
              <w:pStyle w:val="a6"/>
              <w:spacing w:before="0" w:beforeAutospacing="0" w:after="0" w:afterAutospacing="0" w:line="520" w:lineRule="atLeast"/>
              <w:jc w:val="both"/>
            </w:pPr>
            <w:r w:rsidRPr="0024119C">
              <w:rPr>
                <w:rFonts w:hint="eastAsia"/>
              </w:rPr>
              <w:t>北京正和</w:t>
            </w:r>
            <w:proofErr w:type="gramStart"/>
            <w:r w:rsidRPr="0024119C">
              <w:rPr>
                <w:rFonts w:hint="eastAsia"/>
              </w:rPr>
              <w:t>恒基</w:t>
            </w:r>
            <w:proofErr w:type="gramEnd"/>
            <w:r w:rsidRPr="0024119C">
              <w:rPr>
                <w:rFonts w:hint="eastAsia"/>
              </w:rPr>
              <w:t>滨水生态环境治理股份有限公司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6B" w:rsidRPr="00BB4E6B" w:rsidRDefault="0024119C" w:rsidP="00003B86">
            <w:pPr>
              <w:pStyle w:val="a6"/>
              <w:spacing w:before="0" w:beforeAutospacing="0" w:after="0" w:afterAutospacing="0" w:line="520" w:lineRule="atLeast"/>
              <w:jc w:val="both"/>
            </w:pPr>
            <w:r w:rsidRPr="0024119C">
              <w:rPr>
                <w:rFonts w:hint="eastAsia"/>
              </w:rPr>
              <w:t>北京市海淀区永丰产业基地永捷北路3号A座3层314室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6B" w:rsidRPr="00BB4E6B" w:rsidRDefault="00003B86" w:rsidP="00003B86">
            <w:pPr>
              <w:pStyle w:val="a6"/>
              <w:spacing w:before="0" w:beforeAutospacing="0" w:after="0" w:afterAutospacing="0" w:line="520" w:lineRule="atLeast"/>
              <w:jc w:val="both"/>
            </w:pPr>
            <w:r>
              <w:rPr>
                <w:rFonts w:hint="eastAsia"/>
              </w:rPr>
              <w:t>联合体</w:t>
            </w:r>
            <w:r w:rsidR="00BB4E6B" w:rsidRPr="00BB4E6B">
              <w:rPr>
                <w:rFonts w:hint="eastAsia"/>
              </w:rPr>
              <w:t>成员公司</w:t>
            </w:r>
          </w:p>
        </w:tc>
      </w:tr>
    </w:tbl>
    <w:p w:rsidR="00474A76" w:rsidRPr="00272BFB" w:rsidRDefault="00474A76" w:rsidP="00BB4E6B">
      <w:pPr>
        <w:pStyle w:val="a6"/>
        <w:numPr>
          <w:ilvl w:val="0"/>
          <w:numId w:val="3"/>
        </w:numPr>
        <w:spacing w:before="0" w:beforeAutospacing="0" w:after="0" w:afterAutospacing="0" w:line="480" w:lineRule="auto"/>
        <w:rPr>
          <w:b/>
        </w:rPr>
      </w:pPr>
      <w:r w:rsidRPr="00272BFB">
        <w:rPr>
          <w:rFonts w:hint="eastAsia"/>
          <w:b/>
        </w:rPr>
        <w:t>磋商小组名单</w:t>
      </w:r>
      <w:r w:rsidR="009A38AF" w:rsidRPr="00272BFB">
        <w:rPr>
          <w:rFonts w:hint="eastAsia"/>
          <w:b/>
        </w:rPr>
        <w:t>:</w:t>
      </w:r>
    </w:p>
    <w:p w:rsidR="00272BFB" w:rsidRPr="00BB4E6B" w:rsidRDefault="00272BFB" w:rsidP="00BB4E6B">
      <w:pPr>
        <w:pStyle w:val="a6"/>
        <w:spacing w:before="0" w:beforeAutospacing="0" w:after="0" w:afterAutospacing="0" w:line="520" w:lineRule="atLeast"/>
        <w:ind w:left="1560" w:hanging="1560"/>
      </w:pPr>
      <w:r w:rsidRPr="00BB4E6B">
        <w:rPr>
          <w:rFonts w:hint="eastAsia"/>
        </w:rPr>
        <w:t>组长：</w:t>
      </w:r>
      <w:proofErr w:type="gramStart"/>
      <w:r w:rsidRPr="00BB4E6B">
        <w:t>钱朝俊</w:t>
      </w:r>
      <w:proofErr w:type="gramEnd"/>
    </w:p>
    <w:p w:rsidR="00272BFB" w:rsidRPr="00BB4E6B" w:rsidRDefault="00272BFB" w:rsidP="00BB4E6B">
      <w:pPr>
        <w:pStyle w:val="a6"/>
        <w:spacing w:before="0" w:beforeAutospacing="0" w:after="0" w:afterAutospacing="0" w:line="520" w:lineRule="atLeast"/>
        <w:ind w:left="1560" w:hanging="1560"/>
      </w:pPr>
      <w:r w:rsidRPr="00BB4E6B">
        <w:rPr>
          <w:rFonts w:hint="eastAsia"/>
        </w:rPr>
        <w:t>组员：</w:t>
      </w:r>
      <w:r w:rsidRPr="00BB4E6B">
        <w:t>陈有军</w:t>
      </w:r>
      <w:r w:rsidRPr="00BB4E6B">
        <w:rPr>
          <w:rFonts w:hint="eastAsia"/>
        </w:rPr>
        <w:t>、</w:t>
      </w:r>
      <w:r w:rsidRPr="00BB4E6B">
        <w:t>万小清</w:t>
      </w:r>
      <w:r w:rsidRPr="00BB4E6B">
        <w:rPr>
          <w:rFonts w:hint="eastAsia"/>
        </w:rPr>
        <w:t>、</w:t>
      </w:r>
      <w:r w:rsidRPr="00BB4E6B">
        <w:t>郭靖波</w:t>
      </w:r>
      <w:r w:rsidRPr="00BB4E6B">
        <w:rPr>
          <w:rFonts w:hint="eastAsia"/>
        </w:rPr>
        <w:t>、童玫、</w:t>
      </w:r>
      <w:r w:rsidRPr="00BB4E6B">
        <w:t>冯巧凤</w:t>
      </w:r>
      <w:r w:rsidRPr="00BB4E6B">
        <w:rPr>
          <w:rFonts w:hint="eastAsia"/>
        </w:rPr>
        <w:t>、</w:t>
      </w:r>
      <w:r w:rsidRPr="00BB4E6B">
        <w:t>程群</w:t>
      </w:r>
    </w:p>
    <w:p w:rsidR="00272BFB" w:rsidRPr="00BB4E6B" w:rsidRDefault="00474A76" w:rsidP="00BB4E6B">
      <w:pPr>
        <w:pStyle w:val="a6"/>
        <w:numPr>
          <w:ilvl w:val="0"/>
          <w:numId w:val="3"/>
        </w:numPr>
        <w:spacing w:before="0" w:beforeAutospacing="0" w:after="0" w:afterAutospacing="0" w:line="480" w:lineRule="auto"/>
        <w:rPr>
          <w:b/>
        </w:rPr>
      </w:pPr>
      <w:r w:rsidRPr="00BB4E6B">
        <w:rPr>
          <w:rFonts w:hint="eastAsia"/>
          <w:b/>
        </w:rPr>
        <w:lastRenderedPageBreak/>
        <w:t>采购结果确认谈判工作组名单</w:t>
      </w:r>
      <w:r w:rsidR="00272BFB" w:rsidRPr="00BB4E6B">
        <w:rPr>
          <w:rFonts w:hint="eastAsia"/>
          <w:b/>
        </w:rPr>
        <w:t>:</w:t>
      </w:r>
      <w:r w:rsidR="00272BFB" w:rsidRPr="00BB4E6B">
        <w:rPr>
          <w:b/>
        </w:rPr>
        <w:t xml:space="preserve"> </w:t>
      </w:r>
    </w:p>
    <w:p w:rsidR="00272BFB" w:rsidRDefault="00272BFB" w:rsidP="00352B80">
      <w:pPr>
        <w:pStyle w:val="a6"/>
        <w:spacing w:before="0" w:beforeAutospacing="0" w:after="0" w:afterAutospacing="0" w:line="520" w:lineRule="atLeast"/>
        <w:ind w:left="1699" w:hanging="1699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组长：</w:t>
      </w:r>
      <w:r>
        <w:rPr>
          <w:rFonts w:ascii="Times New Roman" w:hAnsi="Times New Roman" w:cs="Times New Roman"/>
        </w:rPr>
        <w:t>程群</w:t>
      </w:r>
    </w:p>
    <w:p w:rsidR="00474A76" w:rsidRDefault="00272BFB" w:rsidP="00352B80">
      <w:pPr>
        <w:pStyle w:val="a6"/>
        <w:spacing w:before="0" w:beforeAutospacing="0" w:after="0" w:afterAutospacing="0" w:line="520" w:lineRule="atLeast"/>
        <w:ind w:left="1699" w:hanging="1699"/>
      </w:pPr>
      <w:r>
        <w:rPr>
          <w:rFonts w:ascii="Times New Roman" w:hAnsi="Times New Roman" w:cs="Times New Roman" w:hint="eastAsia"/>
        </w:rPr>
        <w:t>组员：余龙、杨克川、高丽、徐晓云、臧亚东、王风光、童玫、冯巧凤</w:t>
      </w:r>
    </w:p>
    <w:p w:rsidR="00BB4E6B" w:rsidRDefault="00352B80" w:rsidP="00BB4E6B">
      <w:pPr>
        <w:pStyle w:val="a6"/>
        <w:numPr>
          <w:ilvl w:val="0"/>
          <w:numId w:val="3"/>
        </w:numPr>
        <w:spacing w:before="0" w:beforeAutospacing="0" w:after="0" w:afterAutospacing="0" w:line="480" w:lineRule="auto"/>
        <w:rPr>
          <w:b/>
        </w:rPr>
      </w:pPr>
      <w:proofErr w:type="gramStart"/>
      <w:r w:rsidRPr="00BB4E6B">
        <w:rPr>
          <w:rFonts w:hint="eastAsia"/>
          <w:b/>
        </w:rPr>
        <w:t>预成交</w:t>
      </w:r>
      <w:proofErr w:type="gramEnd"/>
      <w:r w:rsidRPr="00BB4E6B">
        <w:rPr>
          <w:rFonts w:hint="eastAsia"/>
          <w:b/>
        </w:rPr>
        <w:t>主要条件：</w:t>
      </w:r>
    </w:p>
    <w:tbl>
      <w:tblPr>
        <w:tblStyle w:val="ad"/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735"/>
        <w:gridCol w:w="3385"/>
        <w:gridCol w:w="2699"/>
      </w:tblGrid>
      <w:tr w:rsidR="00C82A15" w:rsidTr="00C82A15">
        <w:trPr>
          <w:trHeight w:val="418"/>
        </w:trPr>
        <w:tc>
          <w:tcPr>
            <w:tcW w:w="735" w:type="dxa"/>
            <w:vAlign w:val="center"/>
          </w:tcPr>
          <w:p w:rsidR="00C82A15" w:rsidRPr="00C82A15" w:rsidRDefault="00C82A15" w:rsidP="00935F8A">
            <w:pPr>
              <w:jc w:val="center"/>
              <w:rPr>
                <w:rFonts w:ascii="宋体" w:hAnsi="宋体" w:cs="宋体"/>
                <w:b/>
                <w:bCs/>
                <w:sz w:val="22"/>
                <w:szCs w:val="21"/>
              </w:rPr>
            </w:pPr>
            <w:r w:rsidRPr="00C82A15">
              <w:rPr>
                <w:rFonts w:ascii="宋体" w:hAnsi="宋体" w:cs="宋体" w:hint="eastAsia"/>
                <w:b/>
                <w:bCs/>
                <w:sz w:val="22"/>
                <w:szCs w:val="21"/>
              </w:rPr>
              <w:t>序号</w:t>
            </w:r>
          </w:p>
        </w:tc>
        <w:tc>
          <w:tcPr>
            <w:tcW w:w="3385" w:type="dxa"/>
            <w:vAlign w:val="center"/>
          </w:tcPr>
          <w:p w:rsidR="00C82A15" w:rsidRPr="00C82A15" w:rsidRDefault="00C82A15" w:rsidP="00935F8A">
            <w:pPr>
              <w:jc w:val="center"/>
              <w:rPr>
                <w:rFonts w:ascii="宋体" w:hAnsi="宋体" w:cs="宋体"/>
                <w:b/>
                <w:bCs/>
                <w:sz w:val="22"/>
                <w:szCs w:val="21"/>
              </w:rPr>
            </w:pPr>
            <w:r w:rsidRPr="00C82A15">
              <w:rPr>
                <w:rFonts w:ascii="宋体" w:hAnsi="宋体" w:cs="宋体" w:hint="eastAsia"/>
                <w:b/>
                <w:bCs/>
                <w:sz w:val="22"/>
                <w:szCs w:val="21"/>
              </w:rPr>
              <w:t>标的</w:t>
            </w:r>
          </w:p>
        </w:tc>
        <w:tc>
          <w:tcPr>
            <w:tcW w:w="2699" w:type="dxa"/>
            <w:vAlign w:val="center"/>
          </w:tcPr>
          <w:p w:rsidR="00C82A15" w:rsidRPr="00C82A15" w:rsidRDefault="00C82A15" w:rsidP="00935F8A">
            <w:pPr>
              <w:jc w:val="center"/>
              <w:rPr>
                <w:rFonts w:ascii="宋体" w:hAnsi="宋体" w:cs="宋体"/>
                <w:b/>
                <w:bCs/>
                <w:sz w:val="22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22"/>
                <w:szCs w:val="21"/>
              </w:rPr>
              <w:t>预成交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22"/>
                <w:szCs w:val="21"/>
              </w:rPr>
              <w:t>数值</w:t>
            </w:r>
          </w:p>
        </w:tc>
      </w:tr>
      <w:tr w:rsidR="00C82A15" w:rsidTr="00C82A15">
        <w:tc>
          <w:tcPr>
            <w:tcW w:w="735" w:type="dxa"/>
            <w:vAlign w:val="center"/>
          </w:tcPr>
          <w:p w:rsidR="00C82A15" w:rsidRPr="00C82A15" w:rsidRDefault="00C82A15" w:rsidP="00C82A15">
            <w:pPr>
              <w:pStyle w:val="a6"/>
              <w:spacing w:before="0" w:beforeAutospacing="0" w:after="0" w:afterAutospacing="0" w:line="520" w:lineRule="atLeast"/>
              <w:ind w:left="1560" w:hanging="1560"/>
            </w:pPr>
            <w:r w:rsidRPr="00C82A15">
              <w:rPr>
                <w:rFonts w:hint="eastAsia"/>
              </w:rPr>
              <w:t>1</w:t>
            </w:r>
          </w:p>
        </w:tc>
        <w:tc>
          <w:tcPr>
            <w:tcW w:w="3385" w:type="dxa"/>
            <w:vAlign w:val="center"/>
          </w:tcPr>
          <w:p w:rsidR="00C82A15" w:rsidRPr="00C82A15" w:rsidRDefault="00C82A15" w:rsidP="00C82A15">
            <w:pPr>
              <w:pStyle w:val="a6"/>
              <w:spacing w:before="0" w:beforeAutospacing="0" w:after="0" w:afterAutospacing="0" w:line="520" w:lineRule="atLeast"/>
              <w:ind w:left="1560" w:hanging="1560"/>
            </w:pPr>
            <w:r w:rsidRPr="00C82A15">
              <w:rPr>
                <w:rFonts w:hint="eastAsia"/>
              </w:rPr>
              <w:t>年可用性服务费（</w:t>
            </w:r>
            <w:r w:rsidRPr="00BB4E6B">
              <w:rPr>
                <w:rFonts w:hint="eastAsia"/>
              </w:rPr>
              <w:t>元/年</w:t>
            </w:r>
            <w:r w:rsidRPr="00C82A15">
              <w:rPr>
                <w:rFonts w:hint="eastAsia"/>
              </w:rPr>
              <w:t>）</w:t>
            </w:r>
          </w:p>
        </w:tc>
        <w:tc>
          <w:tcPr>
            <w:tcW w:w="2699" w:type="dxa"/>
            <w:vAlign w:val="center"/>
          </w:tcPr>
          <w:p w:rsidR="00C82A15" w:rsidRPr="00C82A15" w:rsidRDefault="0024119C" w:rsidP="00C82A15">
            <w:pPr>
              <w:pStyle w:val="a6"/>
              <w:spacing w:before="0" w:beforeAutospacing="0" w:after="0" w:afterAutospacing="0" w:line="520" w:lineRule="atLeast"/>
              <w:ind w:left="1560" w:hanging="1560"/>
            </w:pPr>
            <w:r w:rsidRPr="0024119C">
              <w:t>30,529,575.44</w:t>
            </w:r>
          </w:p>
        </w:tc>
      </w:tr>
      <w:tr w:rsidR="00C82A15" w:rsidTr="00C82A15">
        <w:tc>
          <w:tcPr>
            <w:tcW w:w="735" w:type="dxa"/>
            <w:vAlign w:val="center"/>
          </w:tcPr>
          <w:p w:rsidR="00C82A15" w:rsidRPr="00C82A15" w:rsidRDefault="00C82A15" w:rsidP="00C82A15">
            <w:pPr>
              <w:pStyle w:val="a6"/>
              <w:spacing w:before="0" w:beforeAutospacing="0" w:after="0" w:afterAutospacing="0" w:line="520" w:lineRule="atLeast"/>
              <w:ind w:left="1560" w:hanging="1560"/>
            </w:pPr>
            <w:r w:rsidRPr="00C82A15">
              <w:rPr>
                <w:rFonts w:hint="eastAsia"/>
              </w:rPr>
              <w:t>2</w:t>
            </w:r>
          </w:p>
        </w:tc>
        <w:tc>
          <w:tcPr>
            <w:tcW w:w="3385" w:type="dxa"/>
            <w:vAlign w:val="center"/>
          </w:tcPr>
          <w:p w:rsidR="00C82A15" w:rsidRPr="00C82A15" w:rsidRDefault="00C82A15" w:rsidP="00C82A15">
            <w:pPr>
              <w:pStyle w:val="a6"/>
              <w:spacing w:before="0" w:beforeAutospacing="0" w:after="0" w:afterAutospacing="0" w:line="520" w:lineRule="atLeast"/>
              <w:ind w:left="1560" w:hanging="1560"/>
            </w:pPr>
            <w:r w:rsidRPr="00BB4E6B">
              <w:rPr>
                <w:rFonts w:hint="eastAsia"/>
              </w:rPr>
              <w:t>建筑安装工程费下浮率</w:t>
            </w:r>
            <w:r>
              <w:rPr>
                <w:rFonts w:hint="eastAsia"/>
              </w:rPr>
              <w:t>（%）</w:t>
            </w:r>
          </w:p>
        </w:tc>
        <w:tc>
          <w:tcPr>
            <w:tcW w:w="2699" w:type="dxa"/>
            <w:vAlign w:val="center"/>
          </w:tcPr>
          <w:p w:rsidR="00C82A15" w:rsidRPr="00C82A15" w:rsidRDefault="0024119C" w:rsidP="00C82A15">
            <w:pPr>
              <w:pStyle w:val="a6"/>
              <w:spacing w:before="0" w:beforeAutospacing="0" w:after="0" w:afterAutospacing="0" w:line="520" w:lineRule="atLeast"/>
              <w:ind w:left="1560" w:hanging="1560"/>
            </w:pPr>
            <w:r>
              <w:rPr>
                <w:rFonts w:hint="eastAsia"/>
              </w:rPr>
              <w:t>10</w:t>
            </w:r>
            <w:r w:rsidR="00D3790C">
              <w:rPr>
                <w:rFonts w:hint="eastAsia"/>
              </w:rPr>
              <w:t>.00%</w:t>
            </w:r>
          </w:p>
        </w:tc>
      </w:tr>
      <w:tr w:rsidR="00C82A15" w:rsidTr="00C82A15">
        <w:tc>
          <w:tcPr>
            <w:tcW w:w="735" w:type="dxa"/>
            <w:vAlign w:val="center"/>
          </w:tcPr>
          <w:p w:rsidR="00C82A15" w:rsidRPr="00C82A15" w:rsidRDefault="00C82A15" w:rsidP="00C82A15">
            <w:pPr>
              <w:pStyle w:val="a6"/>
              <w:spacing w:before="0" w:beforeAutospacing="0" w:after="0" w:afterAutospacing="0" w:line="520" w:lineRule="atLeast"/>
              <w:ind w:left="1560" w:hanging="1560"/>
            </w:pPr>
            <w:r w:rsidRPr="00C82A15">
              <w:rPr>
                <w:rFonts w:hint="eastAsia"/>
              </w:rPr>
              <w:t>3</w:t>
            </w:r>
          </w:p>
        </w:tc>
        <w:tc>
          <w:tcPr>
            <w:tcW w:w="3385" w:type="dxa"/>
            <w:vAlign w:val="center"/>
          </w:tcPr>
          <w:p w:rsidR="00C82A15" w:rsidRPr="00C82A15" w:rsidRDefault="00C82A15" w:rsidP="00C82A15">
            <w:pPr>
              <w:pStyle w:val="a6"/>
              <w:spacing w:before="0" w:beforeAutospacing="0" w:after="0" w:afterAutospacing="0" w:line="520" w:lineRule="atLeast"/>
              <w:ind w:left="1560" w:hanging="1560"/>
            </w:pPr>
            <w:r w:rsidRPr="00BB4E6B">
              <w:rPr>
                <w:rFonts w:hint="eastAsia"/>
              </w:rPr>
              <w:t>投资收益率倍数</w:t>
            </w:r>
          </w:p>
        </w:tc>
        <w:tc>
          <w:tcPr>
            <w:tcW w:w="2699" w:type="dxa"/>
            <w:vAlign w:val="center"/>
          </w:tcPr>
          <w:p w:rsidR="00C82A15" w:rsidRPr="00C82A15" w:rsidRDefault="0024119C" w:rsidP="005F601C">
            <w:pPr>
              <w:pStyle w:val="a6"/>
              <w:spacing w:before="0" w:beforeAutospacing="0" w:after="0" w:afterAutospacing="0" w:line="520" w:lineRule="atLeast"/>
              <w:ind w:left="1560" w:hanging="1560"/>
            </w:pPr>
            <w:r>
              <w:rPr>
                <w:rFonts w:hint="eastAsia"/>
              </w:rPr>
              <w:t>1.00</w:t>
            </w:r>
          </w:p>
        </w:tc>
      </w:tr>
      <w:tr w:rsidR="00C82A15" w:rsidTr="00C82A15">
        <w:tc>
          <w:tcPr>
            <w:tcW w:w="735" w:type="dxa"/>
            <w:vAlign w:val="center"/>
          </w:tcPr>
          <w:p w:rsidR="00C82A15" w:rsidRPr="00C82A15" w:rsidRDefault="00C82A15" w:rsidP="00C82A15">
            <w:pPr>
              <w:pStyle w:val="a6"/>
              <w:spacing w:before="0" w:beforeAutospacing="0" w:after="0" w:afterAutospacing="0" w:line="520" w:lineRule="atLeast"/>
              <w:ind w:left="1560" w:hanging="1560"/>
            </w:pPr>
            <w:r w:rsidRPr="00C82A15">
              <w:rPr>
                <w:rFonts w:hint="eastAsia"/>
              </w:rPr>
              <w:t>4</w:t>
            </w:r>
          </w:p>
        </w:tc>
        <w:tc>
          <w:tcPr>
            <w:tcW w:w="3385" w:type="dxa"/>
            <w:vAlign w:val="center"/>
          </w:tcPr>
          <w:p w:rsidR="00C82A15" w:rsidRPr="00C82A15" w:rsidRDefault="00C82A15" w:rsidP="00C82A15">
            <w:pPr>
              <w:pStyle w:val="a6"/>
              <w:spacing w:before="0" w:beforeAutospacing="0" w:after="0" w:afterAutospacing="0" w:line="520" w:lineRule="atLeast"/>
              <w:ind w:left="1560" w:hanging="1560"/>
            </w:pPr>
            <w:r w:rsidRPr="00BB4E6B">
              <w:rPr>
                <w:rFonts w:hint="eastAsia"/>
              </w:rPr>
              <w:t>运营服务费下浮率</w:t>
            </w:r>
            <w:r>
              <w:rPr>
                <w:rFonts w:hint="eastAsia"/>
              </w:rPr>
              <w:t>（%）</w:t>
            </w:r>
          </w:p>
        </w:tc>
        <w:tc>
          <w:tcPr>
            <w:tcW w:w="2699" w:type="dxa"/>
            <w:vAlign w:val="center"/>
          </w:tcPr>
          <w:p w:rsidR="00C82A15" w:rsidRPr="00C82A15" w:rsidRDefault="0024119C" w:rsidP="00C82A15">
            <w:pPr>
              <w:pStyle w:val="a6"/>
              <w:spacing w:before="0" w:beforeAutospacing="0" w:after="0" w:afterAutospacing="0" w:line="520" w:lineRule="atLeast"/>
              <w:ind w:left="1560" w:hanging="1560"/>
            </w:pPr>
            <w:r>
              <w:rPr>
                <w:rFonts w:hint="eastAsia"/>
              </w:rPr>
              <w:t>25</w:t>
            </w:r>
            <w:r w:rsidR="00D3790C">
              <w:rPr>
                <w:rFonts w:hint="eastAsia"/>
              </w:rPr>
              <w:t>.00%</w:t>
            </w:r>
          </w:p>
        </w:tc>
      </w:tr>
    </w:tbl>
    <w:p w:rsidR="00BB4E6B" w:rsidRPr="00BB4E6B" w:rsidRDefault="00BB4E6B" w:rsidP="00BB4E6B">
      <w:pPr>
        <w:pStyle w:val="a6"/>
        <w:numPr>
          <w:ilvl w:val="0"/>
          <w:numId w:val="3"/>
        </w:numPr>
        <w:spacing w:before="0" w:beforeAutospacing="0" w:after="0" w:afterAutospacing="0" w:line="480" w:lineRule="auto"/>
        <w:rPr>
          <w:b/>
        </w:rPr>
      </w:pPr>
      <w:r w:rsidRPr="00BB4E6B">
        <w:rPr>
          <w:rFonts w:hint="eastAsia"/>
          <w:b/>
        </w:rPr>
        <w:t>其他</w:t>
      </w:r>
    </w:p>
    <w:p w:rsidR="00352B80" w:rsidRDefault="00352B80" w:rsidP="00352B80">
      <w:pPr>
        <w:pStyle w:val="a6"/>
        <w:spacing w:before="0" w:beforeAutospacing="0" w:after="0" w:afterAutospacing="0" w:line="520" w:lineRule="atLeast"/>
        <w:ind w:left="-8"/>
      </w:pPr>
      <w:r>
        <w:rPr>
          <w:rFonts w:hint="eastAsia"/>
        </w:rPr>
        <w:t>公示期限：</w:t>
      </w:r>
      <w:r w:rsidR="00E60A18">
        <w:rPr>
          <w:rFonts w:hint="eastAsia"/>
        </w:rPr>
        <w:t>公示发布之日起5个工作日。</w:t>
      </w:r>
    </w:p>
    <w:p w:rsidR="00352B80" w:rsidRDefault="00352B80" w:rsidP="00352B80">
      <w:pPr>
        <w:pStyle w:val="a6"/>
        <w:spacing w:before="0" w:beforeAutospacing="0" w:after="0" w:afterAutospacing="0" w:line="520" w:lineRule="atLeast"/>
        <w:ind w:left="-8"/>
      </w:pPr>
      <w:r>
        <w:rPr>
          <w:rFonts w:hint="eastAsia"/>
        </w:rPr>
        <w:t>发布媒体：中国政府采购网（http://www.ccgp.gov.cn）</w:t>
      </w:r>
    </w:p>
    <w:p w:rsidR="00352B80" w:rsidRDefault="00345293" w:rsidP="00352B80">
      <w:pPr>
        <w:pStyle w:val="a6"/>
        <w:spacing w:before="0" w:beforeAutospacing="0" w:after="0" w:afterAutospacing="0" w:line="520" w:lineRule="atLeast"/>
        <w:ind w:left="-8" w:firstLine="1200"/>
      </w:pPr>
      <w:r w:rsidRPr="00D84C4E">
        <w:t>中国采购与招标网（</w:t>
      </w:r>
      <w:r w:rsidR="00E60A18">
        <w:rPr>
          <w:rFonts w:hint="eastAsia"/>
        </w:rPr>
        <w:t>http://</w:t>
      </w:r>
      <w:r w:rsidRPr="00345293">
        <w:t>www.chinabidding.com.cn</w:t>
      </w:r>
      <w:r w:rsidRPr="00D84C4E">
        <w:t>）</w:t>
      </w:r>
    </w:p>
    <w:p w:rsidR="00345293" w:rsidRPr="00345293" w:rsidRDefault="00345293" w:rsidP="00352B80">
      <w:pPr>
        <w:pStyle w:val="a6"/>
        <w:spacing w:before="0" w:beforeAutospacing="0" w:after="0" w:afterAutospacing="0" w:line="520" w:lineRule="atLeast"/>
        <w:ind w:left="-8" w:firstLine="1200"/>
      </w:pPr>
      <w:r w:rsidRPr="00D84C4E">
        <w:t>北京市财政局（</w:t>
      </w:r>
      <w:r w:rsidR="00E60A18">
        <w:rPr>
          <w:rFonts w:hint="eastAsia"/>
        </w:rPr>
        <w:t>http://</w:t>
      </w:r>
      <w:r w:rsidRPr="00D84C4E">
        <w:t>www.bjcz.gov.cn）</w:t>
      </w:r>
    </w:p>
    <w:p w:rsidR="00352B80" w:rsidRDefault="00352B80" w:rsidP="00352B80">
      <w:pPr>
        <w:pStyle w:val="a6"/>
        <w:spacing w:before="0" w:beforeAutospacing="0" w:after="0" w:afterAutospacing="0" w:line="520" w:lineRule="atLeast"/>
        <w:ind w:left="-8" w:firstLine="480"/>
      </w:pPr>
      <w:r>
        <w:rPr>
          <w:rFonts w:hint="eastAsia"/>
        </w:rPr>
        <w:t>各有关当事人对</w:t>
      </w:r>
      <w:proofErr w:type="gramStart"/>
      <w:r>
        <w:rPr>
          <w:rFonts w:hint="eastAsia"/>
        </w:rPr>
        <w:t>预成交</w:t>
      </w:r>
      <w:proofErr w:type="gramEnd"/>
      <w:r>
        <w:rPr>
          <w:rFonts w:hint="eastAsia"/>
        </w:rPr>
        <w:t>结果有异议的，在公示发布之日起</w:t>
      </w:r>
      <w:r w:rsidR="00216A21">
        <w:rPr>
          <w:rFonts w:hint="eastAsia"/>
        </w:rPr>
        <w:t>五</w:t>
      </w:r>
      <w:r>
        <w:rPr>
          <w:rFonts w:hint="eastAsia"/>
        </w:rPr>
        <w:t>个工作日内，以书面形式向</w:t>
      </w:r>
      <w:r w:rsidR="00216A21" w:rsidRPr="00216A21">
        <w:rPr>
          <w:rFonts w:hint="eastAsia"/>
        </w:rPr>
        <w:t>项目实施机构</w:t>
      </w:r>
      <w:r>
        <w:rPr>
          <w:rFonts w:hint="eastAsia"/>
        </w:rPr>
        <w:t>和采购代理机构提出质疑函（</w:t>
      </w:r>
      <w:r w:rsidR="00BB4E6B">
        <w:rPr>
          <w:rFonts w:hint="eastAsia"/>
        </w:rPr>
        <w:t>质疑内容应当有明确的请求和必要的证明材料，并</w:t>
      </w:r>
      <w:r>
        <w:rPr>
          <w:rFonts w:hint="eastAsia"/>
        </w:rPr>
        <w:t>加盖单位公章且法定代表人签字）。逾期提交或未按要求提交的</w:t>
      </w:r>
      <w:proofErr w:type="gramStart"/>
      <w:r>
        <w:rPr>
          <w:rFonts w:hint="eastAsia"/>
        </w:rPr>
        <w:t>质疑函将不予</w:t>
      </w:r>
      <w:proofErr w:type="gramEnd"/>
      <w:r>
        <w:rPr>
          <w:rFonts w:hint="eastAsia"/>
        </w:rPr>
        <w:t>受理。</w:t>
      </w:r>
    </w:p>
    <w:p w:rsidR="00474A76" w:rsidRDefault="00474A76" w:rsidP="00352B80">
      <w:pPr>
        <w:pStyle w:val="a6"/>
        <w:spacing w:before="0" w:beforeAutospacing="0" w:after="0" w:afterAutospacing="0" w:line="520" w:lineRule="atLeast"/>
        <w:ind w:left="-8" w:firstLine="480"/>
      </w:pPr>
    </w:p>
    <w:p w:rsidR="00352B80" w:rsidRPr="00BB4E6B" w:rsidRDefault="00352B80" w:rsidP="00BB4E6B">
      <w:pPr>
        <w:pStyle w:val="a6"/>
        <w:spacing w:before="0" w:beforeAutospacing="0" w:after="0" w:afterAutospacing="0" w:line="480" w:lineRule="auto"/>
        <w:rPr>
          <w:b/>
        </w:rPr>
      </w:pPr>
      <w:r w:rsidRPr="00BB4E6B">
        <w:rPr>
          <w:rFonts w:hint="eastAsia"/>
          <w:b/>
        </w:rPr>
        <w:t>附</w:t>
      </w:r>
      <w:r w:rsidR="00C82A15">
        <w:rPr>
          <w:rFonts w:hint="eastAsia"/>
          <w:b/>
        </w:rPr>
        <w:t>件</w:t>
      </w:r>
      <w:r w:rsidRPr="00BB4E6B">
        <w:rPr>
          <w:rFonts w:hint="eastAsia"/>
          <w:b/>
        </w:rPr>
        <w:t>：合同文本</w:t>
      </w:r>
    </w:p>
    <w:p w:rsidR="00352B80" w:rsidRDefault="004320DA" w:rsidP="00352B80">
      <w:pPr>
        <w:pStyle w:val="a6"/>
        <w:spacing w:before="0" w:beforeAutospacing="0" w:after="0" w:afterAutospacing="0" w:line="520" w:lineRule="atLeast"/>
        <w:ind w:right="67"/>
        <w:jc w:val="right"/>
      </w:pPr>
      <w:r>
        <w:rPr>
          <w:rFonts w:hint="eastAsia"/>
        </w:rPr>
        <w:t>北京大岳咨询有限责任公司</w:t>
      </w:r>
    </w:p>
    <w:p w:rsidR="00352B80" w:rsidRDefault="00352B80" w:rsidP="00352B80">
      <w:pPr>
        <w:pStyle w:val="a6"/>
        <w:spacing w:before="0" w:beforeAutospacing="0" w:after="0" w:afterAutospacing="0" w:line="520" w:lineRule="atLeast"/>
        <w:ind w:right="67"/>
        <w:jc w:val="right"/>
      </w:pPr>
      <w:r>
        <w:rPr>
          <w:rFonts w:hint="eastAsia"/>
        </w:rPr>
        <w:t>2016年</w:t>
      </w:r>
      <w:r w:rsidR="00216A21">
        <w:rPr>
          <w:rFonts w:hint="eastAsia"/>
        </w:rPr>
        <w:t>9</w:t>
      </w:r>
      <w:r>
        <w:rPr>
          <w:rFonts w:hint="eastAsia"/>
        </w:rPr>
        <w:t>月1</w:t>
      </w:r>
      <w:r w:rsidR="00216A21">
        <w:rPr>
          <w:rFonts w:hint="eastAsia"/>
        </w:rPr>
        <w:t>3</w:t>
      </w:r>
      <w:r>
        <w:rPr>
          <w:rFonts w:hint="eastAsia"/>
        </w:rPr>
        <w:t>日</w:t>
      </w:r>
    </w:p>
    <w:p w:rsidR="0063637D" w:rsidRDefault="0063637D" w:rsidP="00583691">
      <w:pPr>
        <w:widowControl/>
      </w:pPr>
      <w:bookmarkStart w:id="0" w:name="_GoBack"/>
      <w:bookmarkEnd w:id="0"/>
    </w:p>
    <w:sectPr w:rsidR="00636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829" w:rsidRDefault="00D24829" w:rsidP="00352B80">
      <w:r>
        <w:separator/>
      </w:r>
    </w:p>
  </w:endnote>
  <w:endnote w:type="continuationSeparator" w:id="0">
    <w:p w:rsidR="00D24829" w:rsidRDefault="00D24829" w:rsidP="0035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829" w:rsidRDefault="00D24829" w:rsidP="00352B80">
      <w:r>
        <w:separator/>
      </w:r>
    </w:p>
  </w:footnote>
  <w:footnote w:type="continuationSeparator" w:id="0">
    <w:p w:rsidR="00D24829" w:rsidRDefault="00D24829" w:rsidP="00352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05D2"/>
    <w:multiLevelType w:val="multilevel"/>
    <w:tmpl w:val="8DE4E2C8"/>
    <w:lvl w:ilvl="0">
      <w:start w:val="1"/>
      <w:numFmt w:val="decimal"/>
      <w:pStyle w:val="1"/>
      <w:lvlText w:val="第%1部分"/>
      <w:lvlJc w:val="center"/>
      <w:pPr>
        <w:tabs>
          <w:tab w:val="num" w:pos="1645"/>
        </w:tabs>
        <w:ind w:left="1645" w:hanging="794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061"/>
        </w:tabs>
        <w:ind w:left="1061" w:hanging="851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1376"/>
        </w:tabs>
        <w:ind w:left="1376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4407"/>
        </w:tabs>
        <w:ind w:left="3315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5552"/>
        </w:tabs>
        <w:ind w:left="3882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6337"/>
        </w:tabs>
        <w:ind w:left="4591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7122"/>
        </w:tabs>
        <w:ind w:left="5158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267"/>
        </w:tabs>
        <w:ind w:left="5725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53"/>
        </w:tabs>
        <w:ind w:left="6433" w:hanging="1700"/>
      </w:pPr>
      <w:rPr>
        <w:rFonts w:hint="eastAsia"/>
      </w:rPr>
    </w:lvl>
  </w:abstractNum>
  <w:abstractNum w:abstractNumId="1">
    <w:nsid w:val="22A71487"/>
    <w:multiLevelType w:val="hybridMultilevel"/>
    <w:tmpl w:val="29AE6836"/>
    <w:lvl w:ilvl="0" w:tplc="60EA484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3D953127"/>
    <w:multiLevelType w:val="hybridMultilevel"/>
    <w:tmpl w:val="15C804E8"/>
    <w:lvl w:ilvl="0" w:tplc="CC707B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80"/>
    <w:rsid w:val="00003B86"/>
    <w:rsid w:val="00073625"/>
    <w:rsid w:val="00097BB9"/>
    <w:rsid w:val="000D64DC"/>
    <w:rsid w:val="00194AAA"/>
    <w:rsid w:val="00216A21"/>
    <w:rsid w:val="0024119C"/>
    <w:rsid w:val="00272BFB"/>
    <w:rsid w:val="002F6CE4"/>
    <w:rsid w:val="00345293"/>
    <w:rsid w:val="00352B80"/>
    <w:rsid w:val="00356087"/>
    <w:rsid w:val="00370A1A"/>
    <w:rsid w:val="004110EA"/>
    <w:rsid w:val="004320DA"/>
    <w:rsid w:val="00474A76"/>
    <w:rsid w:val="00530633"/>
    <w:rsid w:val="00557CF4"/>
    <w:rsid w:val="00560CB6"/>
    <w:rsid w:val="00583691"/>
    <w:rsid w:val="005A1B78"/>
    <w:rsid w:val="005F601C"/>
    <w:rsid w:val="0063637D"/>
    <w:rsid w:val="00774614"/>
    <w:rsid w:val="007E52C2"/>
    <w:rsid w:val="008536FC"/>
    <w:rsid w:val="008631CA"/>
    <w:rsid w:val="00890DC2"/>
    <w:rsid w:val="008F464B"/>
    <w:rsid w:val="009A38AF"/>
    <w:rsid w:val="009B690E"/>
    <w:rsid w:val="009E7E15"/>
    <w:rsid w:val="00B05528"/>
    <w:rsid w:val="00B15DFE"/>
    <w:rsid w:val="00BB4E6B"/>
    <w:rsid w:val="00BC7B5A"/>
    <w:rsid w:val="00C15D95"/>
    <w:rsid w:val="00C41EE5"/>
    <w:rsid w:val="00C71E5D"/>
    <w:rsid w:val="00C82A15"/>
    <w:rsid w:val="00D24829"/>
    <w:rsid w:val="00D3790C"/>
    <w:rsid w:val="00D87EEF"/>
    <w:rsid w:val="00DE2EF3"/>
    <w:rsid w:val="00E6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qFormat/>
    <w:rsid w:val="00356087"/>
    <w:pPr>
      <w:keepNext/>
      <w:pageBreakBefore/>
      <w:widowControl/>
      <w:numPr>
        <w:numId w:val="2"/>
      </w:numPr>
      <w:autoSpaceDE w:val="0"/>
      <w:autoSpaceDN w:val="0"/>
      <w:adjustRightInd w:val="0"/>
      <w:spacing w:beforeLines="100" w:before="240" w:afterLines="50" w:after="120" w:line="360" w:lineRule="auto"/>
      <w:jc w:val="center"/>
      <w:outlineLvl w:val="0"/>
    </w:pPr>
    <w:rPr>
      <w:rFonts w:ascii="Times New Roman" w:eastAsia="黑体" w:hAnsi="Times New Roman"/>
      <w:b/>
      <w:bCs/>
      <w:kern w:val="44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autoRedefine/>
    <w:qFormat/>
    <w:rsid w:val="00356087"/>
    <w:pPr>
      <w:numPr>
        <w:ilvl w:val="2"/>
        <w:numId w:val="2"/>
      </w:numPr>
      <w:spacing w:before="120" w:after="120" w:line="360" w:lineRule="auto"/>
      <w:outlineLvl w:val="2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352B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352B80"/>
    <w:rPr>
      <w:sz w:val="18"/>
      <w:szCs w:val="18"/>
    </w:rPr>
  </w:style>
  <w:style w:type="character" w:styleId="a5">
    <w:name w:val="Strong"/>
    <w:uiPriority w:val="22"/>
    <w:qFormat/>
    <w:rsid w:val="00352B80"/>
    <w:rPr>
      <w:b/>
      <w:bCs/>
    </w:rPr>
  </w:style>
  <w:style w:type="paragraph" w:styleId="a6">
    <w:name w:val="Normal (Web)"/>
    <w:basedOn w:val="a"/>
    <w:uiPriority w:val="99"/>
    <w:unhideWhenUsed/>
    <w:rsid w:val="00352B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annotation reference"/>
    <w:uiPriority w:val="99"/>
    <w:semiHidden/>
    <w:unhideWhenUsed/>
    <w:rsid w:val="00216A21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216A21"/>
    <w:pPr>
      <w:jc w:val="left"/>
    </w:pPr>
  </w:style>
  <w:style w:type="character" w:customStyle="1" w:styleId="Char1">
    <w:name w:val="批注文字 Char"/>
    <w:link w:val="a8"/>
    <w:uiPriority w:val="99"/>
    <w:semiHidden/>
    <w:rsid w:val="00216A21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216A21"/>
    <w:rPr>
      <w:b/>
      <w:bCs/>
    </w:rPr>
  </w:style>
  <w:style w:type="character" w:customStyle="1" w:styleId="Char2">
    <w:name w:val="批注主题 Char"/>
    <w:link w:val="a9"/>
    <w:uiPriority w:val="99"/>
    <w:semiHidden/>
    <w:rsid w:val="00216A21"/>
    <w:rPr>
      <w:b/>
      <w:bCs/>
      <w:kern w:val="2"/>
      <w:sz w:val="21"/>
      <w:szCs w:val="22"/>
    </w:rPr>
  </w:style>
  <w:style w:type="paragraph" w:styleId="aa">
    <w:name w:val="Balloon Text"/>
    <w:basedOn w:val="a"/>
    <w:link w:val="Char3"/>
    <w:uiPriority w:val="99"/>
    <w:semiHidden/>
    <w:unhideWhenUsed/>
    <w:rsid w:val="00216A21"/>
    <w:rPr>
      <w:sz w:val="18"/>
      <w:szCs w:val="18"/>
    </w:rPr>
  </w:style>
  <w:style w:type="character" w:customStyle="1" w:styleId="Char3">
    <w:name w:val="批注框文本 Char"/>
    <w:link w:val="aa"/>
    <w:uiPriority w:val="99"/>
    <w:semiHidden/>
    <w:rsid w:val="00216A21"/>
    <w:rPr>
      <w:kern w:val="2"/>
      <w:sz w:val="18"/>
      <w:szCs w:val="18"/>
    </w:rPr>
  </w:style>
  <w:style w:type="character" w:styleId="ab">
    <w:name w:val="Hyperlink"/>
    <w:uiPriority w:val="99"/>
    <w:unhideWhenUsed/>
    <w:rsid w:val="0034529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60A18"/>
    <w:pPr>
      <w:ind w:firstLineChars="200" w:firstLine="420"/>
    </w:pPr>
  </w:style>
  <w:style w:type="character" w:customStyle="1" w:styleId="1Char">
    <w:name w:val="标题 1 Char"/>
    <w:link w:val="1"/>
    <w:rsid w:val="00356087"/>
    <w:rPr>
      <w:rFonts w:ascii="Times New Roman" w:eastAsia="黑体" w:hAnsi="Times New Roman"/>
      <w:b/>
      <w:bCs/>
      <w:kern w:val="44"/>
      <w:sz w:val="32"/>
      <w:szCs w:val="32"/>
      <w:lang w:val="x-none" w:eastAsia="x-none"/>
    </w:rPr>
  </w:style>
  <w:style w:type="character" w:customStyle="1" w:styleId="3Char">
    <w:name w:val="标题 3 Char"/>
    <w:link w:val="3"/>
    <w:rsid w:val="00356087"/>
    <w:rPr>
      <w:rFonts w:ascii="Times New Roman" w:hAnsi="Times New Roman"/>
      <w:b/>
      <w:bCs/>
      <w:kern w:val="2"/>
      <w:sz w:val="28"/>
      <w:szCs w:val="28"/>
      <w:lang w:val="x-none" w:eastAsia="x-none"/>
    </w:rPr>
  </w:style>
  <w:style w:type="table" w:styleId="ad">
    <w:name w:val="Table Grid"/>
    <w:basedOn w:val="a1"/>
    <w:rsid w:val="00272BFB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qFormat/>
    <w:rsid w:val="00356087"/>
    <w:pPr>
      <w:keepNext/>
      <w:pageBreakBefore/>
      <w:widowControl/>
      <w:numPr>
        <w:numId w:val="2"/>
      </w:numPr>
      <w:autoSpaceDE w:val="0"/>
      <w:autoSpaceDN w:val="0"/>
      <w:adjustRightInd w:val="0"/>
      <w:spacing w:beforeLines="100" w:before="240" w:afterLines="50" w:after="120" w:line="360" w:lineRule="auto"/>
      <w:jc w:val="center"/>
      <w:outlineLvl w:val="0"/>
    </w:pPr>
    <w:rPr>
      <w:rFonts w:ascii="Times New Roman" w:eastAsia="黑体" w:hAnsi="Times New Roman"/>
      <w:b/>
      <w:bCs/>
      <w:kern w:val="44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autoRedefine/>
    <w:qFormat/>
    <w:rsid w:val="00356087"/>
    <w:pPr>
      <w:numPr>
        <w:ilvl w:val="2"/>
        <w:numId w:val="2"/>
      </w:numPr>
      <w:spacing w:before="120" w:after="120" w:line="360" w:lineRule="auto"/>
      <w:outlineLvl w:val="2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352B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352B80"/>
    <w:rPr>
      <w:sz w:val="18"/>
      <w:szCs w:val="18"/>
    </w:rPr>
  </w:style>
  <w:style w:type="character" w:styleId="a5">
    <w:name w:val="Strong"/>
    <w:uiPriority w:val="22"/>
    <w:qFormat/>
    <w:rsid w:val="00352B80"/>
    <w:rPr>
      <w:b/>
      <w:bCs/>
    </w:rPr>
  </w:style>
  <w:style w:type="paragraph" w:styleId="a6">
    <w:name w:val="Normal (Web)"/>
    <w:basedOn w:val="a"/>
    <w:uiPriority w:val="99"/>
    <w:unhideWhenUsed/>
    <w:rsid w:val="00352B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annotation reference"/>
    <w:uiPriority w:val="99"/>
    <w:semiHidden/>
    <w:unhideWhenUsed/>
    <w:rsid w:val="00216A21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216A21"/>
    <w:pPr>
      <w:jc w:val="left"/>
    </w:pPr>
  </w:style>
  <w:style w:type="character" w:customStyle="1" w:styleId="Char1">
    <w:name w:val="批注文字 Char"/>
    <w:link w:val="a8"/>
    <w:uiPriority w:val="99"/>
    <w:semiHidden/>
    <w:rsid w:val="00216A21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216A21"/>
    <w:rPr>
      <w:b/>
      <w:bCs/>
    </w:rPr>
  </w:style>
  <w:style w:type="character" w:customStyle="1" w:styleId="Char2">
    <w:name w:val="批注主题 Char"/>
    <w:link w:val="a9"/>
    <w:uiPriority w:val="99"/>
    <w:semiHidden/>
    <w:rsid w:val="00216A21"/>
    <w:rPr>
      <w:b/>
      <w:bCs/>
      <w:kern w:val="2"/>
      <w:sz w:val="21"/>
      <w:szCs w:val="22"/>
    </w:rPr>
  </w:style>
  <w:style w:type="paragraph" w:styleId="aa">
    <w:name w:val="Balloon Text"/>
    <w:basedOn w:val="a"/>
    <w:link w:val="Char3"/>
    <w:uiPriority w:val="99"/>
    <w:semiHidden/>
    <w:unhideWhenUsed/>
    <w:rsid w:val="00216A21"/>
    <w:rPr>
      <w:sz w:val="18"/>
      <w:szCs w:val="18"/>
    </w:rPr>
  </w:style>
  <w:style w:type="character" w:customStyle="1" w:styleId="Char3">
    <w:name w:val="批注框文本 Char"/>
    <w:link w:val="aa"/>
    <w:uiPriority w:val="99"/>
    <w:semiHidden/>
    <w:rsid w:val="00216A21"/>
    <w:rPr>
      <w:kern w:val="2"/>
      <w:sz w:val="18"/>
      <w:szCs w:val="18"/>
    </w:rPr>
  </w:style>
  <w:style w:type="character" w:styleId="ab">
    <w:name w:val="Hyperlink"/>
    <w:uiPriority w:val="99"/>
    <w:unhideWhenUsed/>
    <w:rsid w:val="0034529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60A18"/>
    <w:pPr>
      <w:ind w:firstLineChars="200" w:firstLine="420"/>
    </w:pPr>
  </w:style>
  <w:style w:type="character" w:customStyle="1" w:styleId="1Char">
    <w:name w:val="标题 1 Char"/>
    <w:link w:val="1"/>
    <w:rsid w:val="00356087"/>
    <w:rPr>
      <w:rFonts w:ascii="Times New Roman" w:eastAsia="黑体" w:hAnsi="Times New Roman"/>
      <w:b/>
      <w:bCs/>
      <w:kern w:val="44"/>
      <w:sz w:val="32"/>
      <w:szCs w:val="32"/>
      <w:lang w:val="x-none" w:eastAsia="x-none"/>
    </w:rPr>
  </w:style>
  <w:style w:type="character" w:customStyle="1" w:styleId="3Char">
    <w:name w:val="标题 3 Char"/>
    <w:link w:val="3"/>
    <w:rsid w:val="00356087"/>
    <w:rPr>
      <w:rFonts w:ascii="Times New Roman" w:hAnsi="Times New Roman"/>
      <w:b/>
      <w:bCs/>
      <w:kern w:val="2"/>
      <w:sz w:val="28"/>
      <w:szCs w:val="28"/>
      <w:lang w:val="x-none" w:eastAsia="x-none"/>
    </w:rPr>
  </w:style>
  <w:style w:type="table" w:styleId="ad">
    <w:name w:val="Table Grid"/>
    <w:basedOn w:val="a1"/>
    <w:rsid w:val="00272BFB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0050">
                  <w:marLeft w:val="0"/>
                  <w:marRight w:val="300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0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4857">
                  <w:marLeft w:val="0"/>
                  <w:marRight w:val="300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0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6971">
                  <w:marLeft w:val="0"/>
                  <w:marRight w:val="300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8835">
                  <w:marLeft w:val="0"/>
                  <w:marRight w:val="300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83872">
                  <w:marLeft w:val="0"/>
                  <w:marRight w:val="300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2391">
                  <w:marLeft w:val="0"/>
                  <w:marRight w:val="300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</Words>
  <Characters>853</Characters>
  <Application>Microsoft Office Word</Application>
  <DocSecurity>0</DocSecurity>
  <PresentationFormat/>
  <Lines>7</Lines>
  <Paragraphs>1</Paragraphs>
  <Slides>0</Slides>
  <Notes>0</Notes>
  <HiddenSlides>0</HiddenSlides>
  <MMClips>0</MMClips>
  <ScaleCrop>false</ScaleCrop>
  <Company>china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Wulei</cp:lastModifiedBy>
  <cp:revision>3</cp:revision>
  <dcterms:created xsi:type="dcterms:W3CDTF">2016-09-13T07:31:00Z</dcterms:created>
  <dcterms:modified xsi:type="dcterms:W3CDTF">2016-09-13T07:35:00Z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