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93" w:rsidRPr="00451774" w:rsidRDefault="00D75F93" w:rsidP="00451774">
      <w:pPr>
        <w:widowControl/>
        <w:snapToGrid w:val="0"/>
        <w:spacing w:beforeLines="100" w:afterLines="100"/>
        <w:jc w:val="center"/>
        <w:rPr>
          <w:rFonts w:ascii="方正仿宋简体" w:eastAsia="方正仿宋简体" w:hAnsi="宋体" w:hint="eastAsia"/>
          <w:b/>
          <w:kern w:val="0"/>
          <w:sz w:val="30"/>
          <w:szCs w:val="30"/>
        </w:rPr>
      </w:pPr>
      <w:r w:rsidRPr="00451774">
        <w:rPr>
          <w:rFonts w:ascii="方正仿宋简体" w:eastAsia="方正仿宋简体" w:hAnsi="宋体" w:hint="eastAsia"/>
          <w:b/>
          <w:kern w:val="0"/>
          <w:sz w:val="30"/>
          <w:szCs w:val="30"/>
        </w:rPr>
        <w:t>宁</w:t>
      </w:r>
      <w:r w:rsidRPr="00451774">
        <w:rPr>
          <w:rFonts w:ascii="方正仿宋简体" w:eastAsia="方正仿宋简体" w:hAnsi="宋体"/>
          <w:b/>
          <w:kern w:val="0"/>
          <w:sz w:val="30"/>
          <w:szCs w:val="30"/>
        </w:rPr>
        <w:t>209</w:t>
      </w:r>
      <w:r w:rsidRPr="00451774">
        <w:rPr>
          <w:rFonts w:ascii="方正仿宋简体" w:eastAsia="方正仿宋简体" w:hAnsi="宋体" w:hint="eastAsia"/>
          <w:b/>
          <w:kern w:val="0"/>
          <w:sz w:val="30"/>
          <w:szCs w:val="30"/>
        </w:rPr>
        <w:t>井区钻井集中供水工程（二期）宁</w:t>
      </w:r>
      <w:r w:rsidRPr="00451774">
        <w:rPr>
          <w:rFonts w:ascii="方正仿宋简体" w:eastAsia="方正仿宋简体" w:hAnsi="宋体"/>
          <w:b/>
          <w:kern w:val="0"/>
          <w:sz w:val="30"/>
          <w:szCs w:val="30"/>
        </w:rPr>
        <w:t>201</w:t>
      </w:r>
      <w:r w:rsidRPr="00451774">
        <w:rPr>
          <w:rFonts w:ascii="方正仿宋简体" w:eastAsia="方正仿宋简体" w:hAnsi="宋体" w:hint="eastAsia"/>
          <w:b/>
          <w:kern w:val="0"/>
          <w:sz w:val="30"/>
          <w:szCs w:val="30"/>
        </w:rPr>
        <w:t>井区钻井集中供水工程（四期）潜水泵物资采购</w:t>
      </w:r>
    </w:p>
    <w:p w:rsidR="002E5778" w:rsidRDefault="001369FF" w:rsidP="00D75F93">
      <w:pPr>
        <w:widowControl/>
        <w:snapToGrid w:val="0"/>
        <w:spacing w:beforeLines="100" w:afterLines="100"/>
        <w:rPr>
          <w:rFonts w:ascii="方正仿宋简体" w:eastAsia="方正仿宋简体" w:hAnsi="宋体"/>
          <w:b/>
          <w:kern w:val="0"/>
          <w:sz w:val="30"/>
          <w:szCs w:val="30"/>
        </w:rPr>
      </w:pPr>
      <w:r>
        <w:rPr>
          <w:rFonts w:ascii="方正仿宋简体" w:eastAsia="方正仿宋简体" w:hAnsi="宋体" w:hint="eastAsia"/>
          <w:b/>
          <w:kern w:val="0"/>
          <w:sz w:val="30"/>
          <w:szCs w:val="30"/>
        </w:rPr>
        <w:t xml:space="preserve">            </w:t>
      </w:r>
      <w:r w:rsidR="00207555">
        <w:rPr>
          <w:rFonts w:ascii="方正仿宋简体" w:eastAsia="方正仿宋简体" w:hAnsi="宋体" w:hint="eastAsia"/>
          <w:b/>
          <w:kern w:val="0"/>
          <w:sz w:val="30"/>
          <w:szCs w:val="30"/>
        </w:rPr>
        <w:t>项目编号：XYSZBZX2018-WZ-</w:t>
      </w:r>
      <w:r>
        <w:rPr>
          <w:rFonts w:ascii="方正仿宋简体" w:eastAsia="方正仿宋简体" w:hAnsi="宋体" w:hint="eastAsia"/>
          <w:b/>
          <w:kern w:val="0"/>
          <w:sz w:val="30"/>
          <w:szCs w:val="30"/>
        </w:rPr>
        <w:t>2</w:t>
      </w:r>
      <w:r w:rsidR="00D75F93">
        <w:rPr>
          <w:rFonts w:ascii="方正仿宋简体" w:eastAsia="方正仿宋简体" w:hAnsi="宋体" w:hint="eastAsia"/>
          <w:b/>
          <w:kern w:val="0"/>
          <w:sz w:val="30"/>
          <w:szCs w:val="30"/>
        </w:rPr>
        <w:t>40</w:t>
      </w:r>
    </w:p>
    <w:p w:rsidR="002E5778" w:rsidRDefault="00207555">
      <w:pPr>
        <w:spacing w:line="40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一、综合评估比较表</w:t>
      </w:r>
    </w:p>
    <w:p w:rsidR="001369FF" w:rsidRPr="00451774" w:rsidRDefault="00574898" w:rsidP="001369FF">
      <w:pPr>
        <w:spacing w:line="400" w:lineRule="exact"/>
        <w:ind w:firstLineChars="196" w:firstLine="412"/>
        <w:rPr>
          <w:rFonts w:ascii="宋体" w:hAnsi="宋体"/>
          <w:szCs w:val="21"/>
        </w:rPr>
      </w:pPr>
      <w:bookmarkStart w:id="0" w:name="_GoBack"/>
      <w:bookmarkEnd w:id="0"/>
      <w:r w:rsidRPr="00574898">
        <w:rPr>
          <w:rFonts w:ascii="宋体" w:hAnsi="宋体" w:hint="eastAsia"/>
          <w:szCs w:val="21"/>
        </w:rPr>
        <w:t>按照本项目招标文件及相关补充文件规定，评标委员会对投标人的投标文件评审结果如下：</w:t>
      </w:r>
      <w:r w:rsidR="001369FF" w:rsidRPr="00451774">
        <w:rPr>
          <w:rFonts w:ascii="宋体" w:hAnsi="宋体" w:hint="eastAsia"/>
          <w:szCs w:val="21"/>
        </w:rPr>
        <w:t xml:space="preserve"> </w:t>
      </w:r>
    </w:p>
    <w:p w:rsidR="00D75F93" w:rsidRDefault="001369FF" w:rsidP="00640D4C">
      <w:pPr>
        <w:spacing w:line="400" w:lineRule="exact"/>
        <w:ind w:firstLineChars="196" w:firstLine="412"/>
        <w:jc w:val="center"/>
        <w:rPr>
          <w:rFonts w:ascii="宋体" w:hAnsi="宋体" w:hint="eastAsia"/>
          <w:szCs w:val="21"/>
        </w:rPr>
      </w:pPr>
      <w:r w:rsidRPr="001369FF">
        <w:rPr>
          <w:rFonts w:ascii="宋体" w:hAnsi="宋体" w:hint="eastAsia"/>
          <w:szCs w:val="21"/>
        </w:rPr>
        <w:t>项目名称</w:t>
      </w:r>
      <w:r w:rsidR="00D75F93" w:rsidRPr="00451774">
        <w:rPr>
          <w:rFonts w:ascii="宋体" w:hAnsi="宋体" w:hint="eastAsia"/>
          <w:szCs w:val="21"/>
        </w:rPr>
        <w:t>宁</w:t>
      </w:r>
      <w:r w:rsidR="00D75F93" w:rsidRPr="00451774">
        <w:rPr>
          <w:rFonts w:ascii="宋体" w:hAnsi="宋体"/>
          <w:szCs w:val="21"/>
        </w:rPr>
        <w:t>209</w:t>
      </w:r>
      <w:r w:rsidR="00D75F93" w:rsidRPr="00451774">
        <w:rPr>
          <w:rFonts w:ascii="宋体" w:hAnsi="宋体" w:hint="eastAsia"/>
          <w:szCs w:val="21"/>
        </w:rPr>
        <w:t>井区钻井集中供水工程（二期）宁</w:t>
      </w:r>
      <w:r w:rsidR="00D75F93" w:rsidRPr="00451774">
        <w:rPr>
          <w:rFonts w:ascii="宋体" w:hAnsi="宋体"/>
          <w:szCs w:val="21"/>
        </w:rPr>
        <w:t>201</w:t>
      </w:r>
      <w:r w:rsidR="00D75F93" w:rsidRPr="00451774">
        <w:rPr>
          <w:rFonts w:ascii="宋体" w:hAnsi="宋体" w:hint="eastAsia"/>
          <w:szCs w:val="21"/>
        </w:rPr>
        <w:t>井区钻井集中供水工程（四期）潜水泵物资采购</w:t>
      </w:r>
      <w:r w:rsidR="00451774">
        <w:rPr>
          <w:rFonts w:ascii="宋体" w:hAnsi="宋体" w:hint="eastAsia"/>
          <w:szCs w:val="21"/>
        </w:rPr>
        <w:t xml:space="preserve"> </w:t>
      </w:r>
      <w:r w:rsidR="00D75F93" w:rsidRPr="00451774">
        <w:rPr>
          <w:rFonts w:ascii="宋体" w:hAnsi="宋体" w:hint="eastAsia"/>
          <w:szCs w:val="21"/>
        </w:rPr>
        <w:t>项目编号：XYSZBZX2018-WZ-240</w:t>
      </w:r>
    </w:p>
    <w:p w:rsidR="00451774" w:rsidRPr="00CF187F" w:rsidRDefault="00451774" w:rsidP="00451774">
      <w:pPr>
        <w:widowControl/>
        <w:spacing w:before="100" w:beforeAutospacing="1" w:after="100" w:afterAutospacing="1"/>
        <w:jc w:val="center"/>
        <w:rPr>
          <w:rFonts w:ascii="宋体" w:hAnsi="宋体" w:cs="Arial"/>
          <w:color w:val="333333"/>
          <w:kern w:val="0"/>
          <w:sz w:val="24"/>
        </w:rPr>
      </w:pPr>
      <w:r w:rsidRPr="00CF187F">
        <w:rPr>
          <w:rFonts w:ascii="宋体" w:hAnsi="宋体" w:cs="Arial" w:hint="eastAsia"/>
          <w:color w:val="333333"/>
          <w:kern w:val="0"/>
          <w:sz w:val="24"/>
        </w:rPr>
        <w:t>评估排序表</w:t>
      </w:r>
    </w:p>
    <w:tbl>
      <w:tblPr>
        <w:tblW w:w="83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1842"/>
        <w:gridCol w:w="1619"/>
        <w:gridCol w:w="542"/>
        <w:gridCol w:w="772"/>
        <w:gridCol w:w="791"/>
        <w:gridCol w:w="793"/>
        <w:gridCol w:w="1307"/>
      </w:tblGrid>
      <w:tr w:rsidR="00451774" w:rsidRPr="00204AA7" w:rsidTr="00B55DA5">
        <w:trPr>
          <w:trHeight w:val="1001"/>
          <w:tblCellSpacing w:w="0" w:type="dxa"/>
        </w:trPr>
        <w:tc>
          <w:tcPr>
            <w:tcW w:w="660" w:type="dxa"/>
            <w:vAlign w:val="center"/>
            <w:hideMark/>
          </w:tcPr>
          <w:p w:rsidR="00451774" w:rsidRPr="002F728F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2F728F">
              <w:rPr>
                <w:rFonts w:ascii="宋体" w:hAnsi="宋体" w:cs="Arial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842" w:type="dxa"/>
            <w:vAlign w:val="center"/>
            <w:hideMark/>
          </w:tcPr>
          <w:p w:rsidR="00451774" w:rsidRPr="002F728F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2F728F">
              <w:rPr>
                <w:rFonts w:ascii="宋体" w:hAnsi="宋体" w:cs="Arial" w:hint="eastAsia"/>
                <w:color w:val="333333"/>
                <w:kern w:val="0"/>
                <w:szCs w:val="21"/>
              </w:rPr>
              <w:t>投标人名称</w:t>
            </w:r>
          </w:p>
        </w:tc>
        <w:tc>
          <w:tcPr>
            <w:tcW w:w="1619" w:type="dxa"/>
            <w:vAlign w:val="center"/>
            <w:hideMark/>
          </w:tcPr>
          <w:p w:rsidR="00451774" w:rsidRPr="002F728F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2F728F">
              <w:rPr>
                <w:rFonts w:ascii="宋体" w:hAnsi="宋体" w:cs="Arial" w:hint="eastAsia"/>
                <w:color w:val="333333"/>
                <w:kern w:val="0"/>
                <w:szCs w:val="21"/>
              </w:rPr>
              <w:t>投标报价(元</w:t>
            </w: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,含税</w:t>
            </w:r>
            <w:r w:rsidRPr="002F728F">
              <w:rPr>
                <w:rFonts w:ascii="宋体" w:hAnsi="宋体" w:cs="Arial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  <w:hideMark/>
          </w:tcPr>
          <w:p w:rsidR="00451774" w:rsidRPr="002F728F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技术得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451774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商务得分（不含价格分）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774" w:rsidRPr="002F728F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价格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得分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774" w:rsidRPr="002F728F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51774" w:rsidRPr="002F728F" w:rsidRDefault="00451774" w:rsidP="00B55DA5">
            <w:pPr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451774" w:rsidRPr="00204AA7" w:rsidTr="00B55DA5">
        <w:trPr>
          <w:trHeight w:val="567"/>
          <w:tblCellSpacing w:w="0" w:type="dxa"/>
        </w:trPr>
        <w:tc>
          <w:tcPr>
            <w:tcW w:w="660" w:type="dxa"/>
            <w:vAlign w:val="center"/>
            <w:hideMark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842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江苏泰丰泵业有限公司</w:t>
            </w:r>
          </w:p>
        </w:tc>
        <w:tc>
          <w:tcPr>
            <w:tcW w:w="1619" w:type="dxa"/>
            <w:vAlign w:val="center"/>
          </w:tcPr>
          <w:p w:rsidR="00451774" w:rsidRPr="000B3B01" w:rsidRDefault="00451774" w:rsidP="00B55DA5">
            <w:pPr>
              <w:widowControl/>
              <w:ind w:firstLineChars="200" w:firstLine="420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4486180.00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通过初步评审</w:t>
            </w:r>
          </w:p>
        </w:tc>
      </w:tr>
      <w:tr w:rsidR="00451774" w:rsidRPr="00204AA7" w:rsidTr="00B55DA5">
        <w:trPr>
          <w:trHeight w:val="567"/>
          <w:tblCellSpacing w:w="0" w:type="dxa"/>
        </w:trPr>
        <w:tc>
          <w:tcPr>
            <w:tcW w:w="660" w:type="dxa"/>
            <w:vAlign w:val="center"/>
            <w:hideMark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842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上海凯泉泵业(集团)有限公司</w:t>
            </w:r>
          </w:p>
        </w:tc>
        <w:tc>
          <w:tcPr>
            <w:tcW w:w="1619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ind w:firstLineChars="200" w:firstLine="420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2458939</w:t>
            </w: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.00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未通过初步评审</w:t>
            </w:r>
          </w:p>
        </w:tc>
      </w:tr>
      <w:tr w:rsidR="00451774" w:rsidRPr="00204AA7" w:rsidTr="00B55DA5">
        <w:trPr>
          <w:trHeight w:val="567"/>
          <w:tblCellSpacing w:w="0" w:type="dxa"/>
        </w:trPr>
        <w:tc>
          <w:tcPr>
            <w:tcW w:w="660" w:type="dxa"/>
            <w:vAlign w:val="center"/>
            <w:hideMark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842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上海太平洋制泵(集团)有限公司</w:t>
            </w:r>
          </w:p>
        </w:tc>
        <w:tc>
          <w:tcPr>
            <w:tcW w:w="1619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ind w:firstLineChars="200" w:firstLine="420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2958376.00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:rsidR="00451774" w:rsidRDefault="00451774" w:rsidP="00B55DA5">
            <w:pPr>
              <w:jc w:val="center"/>
            </w:pPr>
            <w:r w:rsidRPr="007953C9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未通过初步评审</w:t>
            </w:r>
          </w:p>
        </w:tc>
      </w:tr>
      <w:tr w:rsidR="00451774" w:rsidRPr="00204AA7" w:rsidTr="00B55DA5">
        <w:trPr>
          <w:trHeight w:val="567"/>
          <w:tblCellSpacing w:w="0" w:type="dxa"/>
        </w:trPr>
        <w:tc>
          <w:tcPr>
            <w:tcW w:w="660" w:type="dxa"/>
            <w:vAlign w:val="center"/>
            <w:hideMark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842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山东颜山泵业有限公司</w:t>
            </w:r>
          </w:p>
        </w:tc>
        <w:tc>
          <w:tcPr>
            <w:tcW w:w="1619" w:type="dxa"/>
            <w:vAlign w:val="center"/>
          </w:tcPr>
          <w:p w:rsidR="00451774" w:rsidRPr="000B3B01" w:rsidRDefault="00451774" w:rsidP="00B55DA5">
            <w:pPr>
              <w:widowControl/>
              <w:ind w:firstLineChars="200" w:firstLine="420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4179126</w:t>
            </w: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.00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:rsidR="00451774" w:rsidRDefault="00451774" w:rsidP="00B55DA5">
            <w:pPr>
              <w:jc w:val="center"/>
            </w:pPr>
            <w:r w:rsidRPr="007953C9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未通过初步评审</w:t>
            </w:r>
          </w:p>
        </w:tc>
      </w:tr>
      <w:tr w:rsidR="00451774" w:rsidRPr="00204AA7" w:rsidTr="00B55DA5">
        <w:trPr>
          <w:trHeight w:val="567"/>
          <w:tblCellSpacing w:w="0" w:type="dxa"/>
        </w:trPr>
        <w:tc>
          <w:tcPr>
            <w:tcW w:w="660" w:type="dxa"/>
            <w:vAlign w:val="center"/>
            <w:hideMark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842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江苏斯别特制泵有限公司</w:t>
            </w:r>
          </w:p>
        </w:tc>
        <w:tc>
          <w:tcPr>
            <w:tcW w:w="1619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ind w:firstLineChars="200" w:firstLine="420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4067600.00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:rsidR="00451774" w:rsidRDefault="00451774" w:rsidP="00B55DA5">
            <w:pPr>
              <w:jc w:val="center"/>
            </w:pPr>
            <w:r w:rsidRPr="007953C9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未通过初步评审</w:t>
            </w:r>
          </w:p>
        </w:tc>
      </w:tr>
      <w:tr w:rsidR="00451774" w:rsidRPr="00204AA7" w:rsidTr="00B55DA5">
        <w:trPr>
          <w:trHeight w:val="567"/>
          <w:tblCellSpacing w:w="0" w:type="dxa"/>
        </w:trPr>
        <w:tc>
          <w:tcPr>
            <w:tcW w:w="660" w:type="dxa"/>
            <w:vAlign w:val="center"/>
            <w:hideMark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842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涿州市高研泵阀制造有限公司</w:t>
            </w:r>
          </w:p>
        </w:tc>
        <w:tc>
          <w:tcPr>
            <w:tcW w:w="1619" w:type="dxa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ind w:firstLineChars="200" w:firstLine="420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C30D27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2826000</w:t>
            </w: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.00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4" w:rsidRPr="000B3B01" w:rsidRDefault="00451774" w:rsidP="00B55D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:rsidR="00451774" w:rsidRDefault="00451774" w:rsidP="00B55DA5">
            <w:pPr>
              <w:jc w:val="center"/>
            </w:pPr>
            <w:r w:rsidRPr="007953C9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未通过初步评审</w:t>
            </w:r>
          </w:p>
        </w:tc>
      </w:tr>
    </w:tbl>
    <w:p w:rsidR="00451774" w:rsidRPr="00451774" w:rsidRDefault="00451774" w:rsidP="00451774">
      <w:pPr>
        <w:spacing w:line="400" w:lineRule="exact"/>
        <w:ind w:firstLineChars="196" w:firstLine="412"/>
        <w:rPr>
          <w:rFonts w:ascii="宋体" w:hAnsi="宋体"/>
          <w:szCs w:val="21"/>
        </w:rPr>
      </w:pPr>
    </w:p>
    <w:p w:rsidR="001369FF" w:rsidRPr="001369FF" w:rsidRDefault="001369FF" w:rsidP="001369FF">
      <w:pPr>
        <w:spacing w:line="400" w:lineRule="exact"/>
        <w:ind w:firstLineChars="196" w:firstLine="413"/>
        <w:rPr>
          <w:rFonts w:ascii="宋体" w:hAnsi="宋体"/>
          <w:b/>
          <w:szCs w:val="21"/>
        </w:rPr>
      </w:pPr>
      <w:r w:rsidRPr="001369FF">
        <w:rPr>
          <w:rFonts w:ascii="宋体" w:hAnsi="宋体" w:hint="eastAsia"/>
          <w:b/>
          <w:szCs w:val="21"/>
        </w:rPr>
        <w:t>二、中标候选人推荐建议</w:t>
      </w:r>
    </w:p>
    <w:p w:rsidR="001369FF" w:rsidRPr="001369FF" w:rsidRDefault="001369FF" w:rsidP="001369FF">
      <w:pPr>
        <w:spacing w:line="400" w:lineRule="exact"/>
        <w:ind w:firstLineChars="196" w:firstLine="412"/>
        <w:rPr>
          <w:rFonts w:ascii="宋体" w:hAnsi="宋体"/>
          <w:szCs w:val="21"/>
        </w:rPr>
      </w:pPr>
      <w:r w:rsidRPr="001369FF">
        <w:rPr>
          <w:rFonts w:ascii="宋体" w:hAnsi="宋体" w:hint="eastAsia"/>
          <w:szCs w:val="21"/>
        </w:rPr>
        <w:t>按照本项目招标文件，对中标候选人做出如下建议：</w:t>
      </w:r>
    </w:p>
    <w:p w:rsidR="00451774" w:rsidRPr="00451774" w:rsidRDefault="00451774" w:rsidP="00451774">
      <w:pPr>
        <w:spacing w:line="400" w:lineRule="exact"/>
        <w:ind w:firstLineChars="196" w:firstLine="412"/>
        <w:rPr>
          <w:rFonts w:ascii="宋体" w:hAnsi="宋体"/>
          <w:szCs w:val="21"/>
        </w:rPr>
      </w:pPr>
      <w:r w:rsidRPr="00451774">
        <w:rPr>
          <w:rFonts w:ascii="宋体" w:hAnsi="宋体" w:hint="eastAsia"/>
          <w:szCs w:val="21"/>
        </w:rPr>
        <w:t xml:space="preserve">    通过初步评审的投标人仅为1家，且报价最高，评标委员会一致认为不具备</w:t>
      </w:r>
    </w:p>
    <w:p w:rsidR="00451774" w:rsidRPr="00451774" w:rsidRDefault="00451774" w:rsidP="00451774">
      <w:pPr>
        <w:spacing w:line="400" w:lineRule="exact"/>
        <w:ind w:firstLineChars="196" w:firstLine="412"/>
        <w:rPr>
          <w:rFonts w:ascii="宋体" w:hAnsi="宋体"/>
          <w:szCs w:val="21"/>
        </w:rPr>
      </w:pPr>
      <w:r w:rsidRPr="00451774">
        <w:rPr>
          <w:rFonts w:ascii="宋体" w:hAnsi="宋体" w:hint="eastAsia"/>
          <w:szCs w:val="21"/>
        </w:rPr>
        <w:t>竞争性，否决所有投标，本次招标失败。</w:t>
      </w:r>
    </w:p>
    <w:p w:rsidR="001369FF" w:rsidRPr="00451774" w:rsidRDefault="001369FF" w:rsidP="001369FF">
      <w:pPr>
        <w:spacing w:line="400" w:lineRule="exact"/>
        <w:ind w:firstLineChars="196" w:firstLine="412"/>
        <w:rPr>
          <w:rFonts w:ascii="宋体" w:hAnsi="宋体"/>
          <w:szCs w:val="21"/>
        </w:rPr>
      </w:pPr>
    </w:p>
    <w:p w:rsidR="002E5778" w:rsidRPr="001369FF" w:rsidRDefault="002E5778" w:rsidP="001369FF">
      <w:pPr>
        <w:widowControl/>
        <w:tabs>
          <w:tab w:val="left" w:pos="7088"/>
        </w:tabs>
        <w:spacing w:before="100" w:beforeAutospacing="1" w:after="100" w:afterAutospacing="1"/>
        <w:ind w:rightChars="-230" w:right="-483"/>
        <w:jc w:val="center"/>
      </w:pPr>
    </w:p>
    <w:sectPr w:rsidR="002E5778" w:rsidRPr="001369FF" w:rsidSect="002E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47" w:rsidRDefault="00533E47" w:rsidP="00574898">
      <w:r>
        <w:separator/>
      </w:r>
    </w:p>
  </w:endnote>
  <w:endnote w:type="continuationSeparator" w:id="1">
    <w:p w:rsidR="00533E47" w:rsidRDefault="00533E47" w:rsidP="0057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47" w:rsidRDefault="00533E47" w:rsidP="00574898">
      <w:r>
        <w:separator/>
      </w:r>
    </w:p>
  </w:footnote>
  <w:footnote w:type="continuationSeparator" w:id="1">
    <w:p w:rsidR="00533E47" w:rsidRDefault="00533E47" w:rsidP="0057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5778"/>
    <w:rsid w:val="001369FF"/>
    <w:rsid w:val="001F3816"/>
    <w:rsid w:val="00207555"/>
    <w:rsid w:val="002E5778"/>
    <w:rsid w:val="00376F3A"/>
    <w:rsid w:val="00451774"/>
    <w:rsid w:val="00533E47"/>
    <w:rsid w:val="00574898"/>
    <w:rsid w:val="00640D4C"/>
    <w:rsid w:val="00C328D2"/>
    <w:rsid w:val="00C80301"/>
    <w:rsid w:val="00CA460C"/>
    <w:rsid w:val="00D75F93"/>
    <w:rsid w:val="00E31256"/>
    <w:rsid w:val="0A7A1DED"/>
    <w:rsid w:val="0BCF40D4"/>
    <w:rsid w:val="18204EB6"/>
    <w:rsid w:val="18E76226"/>
    <w:rsid w:val="3B2D3049"/>
    <w:rsid w:val="525D63B0"/>
    <w:rsid w:val="70CB5C1B"/>
    <w:rsid w:val="77024962"/>
    <w:rsid w:val="7A6C62FA"/>
    <w:rsid w:val="7EB0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7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2E5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basedOn w:val="a0"/>
    <w:qFormat/>
    <w:rsid w:val="002E5778"/>
    <w:rPr>
      <w:b/>
    </w:rPr>
  </w:style>
  <w:style w:type="character" w:styleId="a5">
    <w:name w:val="FollowedHyperlink"/>
    <w:basedOn w:val="a0"/>
    <w:qFormat/>
    <w:rsid w:val="002E5778"/>
    <w:rPr>
      <w:color w:val="666666"/>
      <w:u w:val="none"/>
    </w:rPr>
  </w:style>
  <w:style w:type="character" w:styleId="a6">
    <w:name w:val="Emphasis"/>
    <w:basedOn w:val="a0"/>
    <w:qFormat/>
    <w:rsid w:val="002E5778"/>
    <w:rPr>
      <w:i/>
    </w:rPr>
  </w:style>
  <w:style w:type="character" w:styleId="a7">
    <w:name w:val="Hyperlink"/>
    <w:basedOn w:val="a0"/>
    <w:qFormat/>
    <w:rsid w:val="002E5778"/>
    <w:rPr>
      <w:color w:val="666666"/>
      <w:u w:val="none"/>
    </w:rPr>
  </w:style>
  <w:style w:type="character" w:styleId="HTML">
    <w:name w:val="HTML Code"/>
    <w:basedOn w:val="a0"/>
    <w:qFormat/>
    <w:rsid w:val="002E5778"/>
    <w:rPr>
      <w:rFonts w:ascii="Monaco" w:eastAsia="Monaco" w:hAnsi="Monaco" w:cs="Monaco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qFormat/>
    <w:rsid w:val="002E5778"/>
  </w:style>
  <w:style w:type="character" w:customStyle="1" w:styleId="button">
    <w:name w:val="button"/>
    <w:basedOn w:val="a0"/>
    <w:qFormat/>
    <w:rsid w:val="002E5778"/>
  </w:style>
  <w:style w:type="character" w:customStyle="1" w:styleId="hover15">
    <w:name w:val="hover15"/>
    <w:basedOn w:val="a0"/>
    <w:qFormat/>
    <w:rsid w:val="002E5778"/>
    <w:rPr>
      <w:shd w:val="clear" w:color="auto" w:fill="EEEEEE"/>
    </w:rPr>
  </w:style>
  <w:style w:type="character" w:customStyle="1" w:styleId="hover16">
    <w:name w:val="hover16"/>
    <w:basedOn w:val="a0"/>
    <w:qFormat/>
    <w:rsid w:val="002E5778"/>
    <w:rPr>
      <w:shd w:val="clear" w:color="auto" w:fill="EEEEEE"/>
    </w:rPr>
  </w:style>
  <w:style w:type="character" w:customStyle="1" w:styleId="hover17">
    <w:name w:val="hover17"/>
    <w:basedOn w:val="a0"/>
    <w:qFormat/>
    <w:rsid w:val="002E5778"/>
    <w:rPr>
      <w:shd w:val="clear" w:color="auto" w:fill="F3F3F3"/>
    </w:rPr>
  </w:style>
  <w:style w:type="character" w:customStyle="1" w:styleId="hover18">
    <w:name w:val="hover18"/>
    <w:basedOn w:val="a0"/>
    <w:qFormat/>
    <w:rsid w:val="002E5778"/>
    <w:rPr>
      <w:sz w:val="21"/>
      <w:szCs w:val="21"/>
    </w:rPr>
  </w:style>
  <w:style w:type="character" w:customStyle="1" w:styleId="hover19">
    <w:name w:val="hover19"/>
    <w:basedOn w:val="a0"/>
    <w:qFormat/>
    <w:rsid w:val="002E5778"/>
    <w:rPr>
      <w:shd w:val="clear" w:color="auto" w:fill="F3F3F3"/>
    </w:rPr>
  </w:style>
  <w:style w:type="character" w:customStyle="1" w:styleId="active9">
    <w:name w:val="active9"/>
    <w:basedOn w:val="a0"/>
    <w:qFormat/>
    <w:rsid w:val="002E5778"/>
    <w:rPr>
      <w:color w:val="FFFFFF"/>
      <w:shd w:val="clear" w:color="auto" w:fill="006DCC"/>
    </w:rPr>
  </w:style>
  <w:style w:type="character" w:customStyle="1" w:styleId="active10">
    <w:name w:val="active10"/>
    <w:basedOn w:val="a0"/>
    <w:qFormat/>
    <w:rsid w:val="002E5778"/>
    <w:rPr>
      <w:color w:val="FFFFFF"/>
      <w:shd w:val="clear" w:color="auto" w:fill="006DCC"/>
    </w:rPr>
  </w:style>
  <w:style w:type="character" w:customStyle="1" w:styleId="old">
    <w:name w:val="old"/>
    <w:basedOn w:val="a0"/>
    <w:qFormat/>
    <w:rsid w:val="002E5778"/>
    <w:rPr>
      <w:color w:val="999999"/>
    </w:rPr>
  </w:style>
  <w:style w:type="character" w:customStyle="1" w:styleId="old1">
    <w:name w:val="old1"/>
    <w:basedOn w:val="a0"/>
    <w:qFormat/>
    <w:rsid w:val="002E5778"/>
    <w:rPr>
      <w:color w:val="999999"/>
    </w:rPr>
  </w:style>
  <w:style w:type="character" w:customStyle="1" w:styleId="hands">
    <w:name w:val="hands"/>
    <w:basedOn w:val="a0"/>
    <w:qFormat/>
    <w:rsid w:val="002E5778"/>
    <w:rPr>
      <w:color w:val="000000"/>
      <w:sz w:val="18"/>
      <w:szCs w:val="18"/>
    </w:rPr>
  </w:style>
  <w:style w:type="character" w:customStyle="1" w:styleId="required">
    <w:name w:val="required"/>
    <w:basedOn w:val="a0"/>
    <w:qFormat/>
    <w:rsid w:val="002E5778"/>
    <w:rPr>
      <w:color w:val="FF0000"/>
      <w:sz w:val="18"/>
      <w:szCs w:val="18"/>
    </w:rPr>
  </w:style>
  <w:style w:type="character" w:customStyle="1" w:styleId="error">
    <w:name w:val="error"/>
    <w:basedOn w:val="a0"/>
    <w:qFormat/>
    <w:rsid w:val="002E5778"/>
    <w:rPr>
      <w:color w:val="FF0000"/>
      <w:sz w:val="18"/>
      <w:szCs w:val="18"/>
    </w:rPr>
  </w:style>
  <w:style w:type="character" w:customStyle="1" w:styleId="timepicker-hour2">
    <w:name w:val="timepicker-hour2"/>
    <w:basedOn w:val="a0"/>
    <w:qFormat/>
    <w:rsid w:val="002E5778"/>
  </w:style>
  <w:style w:type="character" w:customStyle="1" w:styleId="timepicker-minute2">
    <w:name w:val="timepicker-minute2"/>
    <w:basedOn w:val="a0"/>
    <w:qFormat/>
    <w:rsid w:val="002E5778"/>
  </w:style>
  <w:style w:type="character" w:customStyle="1" w:styleId="timepicker-second2">
    <w:name w:val="timepicker-second2"/>
    <w:basedOn w:val="a0"/>
    <w:qFormat/>
    <w:rsid w:val="002E5778"/>
  </w:style>
  <w:style w:type="character" w:customStyle="1" w:styleId="tmpztreemovearrow">
    <w:name w:val="tmpztreemove_arrow"/>
    <w:basedOn w:val="a0"/>
    <w:qFormat/>
    <w:rsid w:val="002E5778"/>
  </w:style>
  <w:style w:type="character" w:customStyle="1" w:styleId="cls1">
    <w:name w:val="cls1"/>
    <w:basedOn w:val="a0"/>
    <w:qFormat/>
    <w:rsid w:val="002E5778"/>
    <w:rPr>
      <w:b/>
      <w:color w:val="757475"/>
    </w:rPr>
  </w:style>
  <w:style w:type="character" w:customStyle="1" w:styleId="cls2">
    <w:name w:val="cls2"/>
    <w:basedOn w:val="a0"/>
    <w:qFormat/>
    <w:rsid w:val="002E5778"/>
    <w:rPr>
      <w:color w:val="757475"/>
    </w:rPr>
  </w:style>
  <w:style w:type="character" w:customStyle="1" w:styleId="cls3">
    <w:name w:val="cls3"/>
    <w:basedOn w:val="a0"/>
    <w:qFormat/>
    <w:rsid w:val="002E5778"/>
  </w:style>
  <w:style w:type="character" w:customStyle="1" w:styleId="nodename2">
    <w:name w:val="node_name2"/>
    <w:basedOn w:val="a0"/>
    <w:qFormat/>
    <w:rsid w:val="002E5778"/>
    <w:rPr>
      <w:color w:val="757475"/>
      <w:sz w:val="19"/>
      <w:szCs w:val="19"/>
    </w:rPr>
  </w:style>
  <w:style w:type="character" w:customStyle="1" w:styleId="nodetitle2">
    <w:name w:val="node_title2"/>
    <w:basedOn w:val="a0"/>
    <w:qFormat/>
    <w:rsid w:val="002E5778"/>
    <w:rPr>
      <w:b/>
    </w:rPr>
  </w:style>
  <w:style w:type="character" w:customStyle="1" w:styleId="active2">
    <w:name w:val="active2"/>
    <w:basedOn w:val="a0"/>
    <w:qFormat/>
    <w:rsid w:val="002E5778"/>
    <w:rPr>
      <w:color w:val="FFFFFF"/>
      <w:shd w:val="clear" w:color="auto" w:fill="006DCC"/>
    </w:rPr>
  </w:style>
  <w:style w:type="character" w:customStyle="1" w:styleId="active3">
    <w:name w:val="active3"/>
    <w:basedOn w:val="a0"/>
    <w:qFormat/>
    <w:rsid w:val="002E5778"/>
    <w:rPr>
      <w:color w:val="FFFFFF"/>
      <w:shd w:val="clear" w:color="auto" w:fill="006DCC"/>
    </w:rPr>
  </w:style>
  <w:style w:type="paragraph" w:styleId="a8">
    <w:name w:val="footer"/>
    <w:basedOn w:val="a"/>
    <w:link w:val="Char"/>
    <w:rsid w:val="0057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5748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>Lenovo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黄运</cp:lastModifiedBy>
  <cp:revision>8</cp:revision>
  <dcterms:created xsi:type="dcterms:W3CDTF">2014-10-29T12:08:00Z</dcterms:created>
  <dcterms:modified xsi:type="dcterms:W3CDTF">2019-01-04T01:03:00Z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